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1D5F1E" w:rsidTr="00532F05">
        <w:tc>
          <w:tcPr>
            <w:tcW w:w="743" w:type="dxa"/>
          </w:tcPr>
          <w:p w:rsidR="001D5F1E" w:rsidRDefault="001D5F1E" w:rsidP="00532F05">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1D5F1E" w:rsidRDefault="001D5F1E" w:rsidP="00532F05">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1D5F1E" w:rsidRDefault="001D5F1E" w:rsidP="00532F05">
            <w:pPr>
              <w:rPr>
                <w:rFonts w:ascii="Arial" w:hAnsi="Arial" w:cs="FrankRuehl"/>
                <w:sz w:val="28"/>
                <w:szCs w:val="28"/>
                <w:highlight w:val="yellow"/>
              </w:rPr>
            </w:pPr>
          </w:p>
        </w:tc>
      </w:tr>
      <w:tr w:rsidR="001D5F1E" w:rsidTr="00532F05">
        <w:tc>
          <w:tcPr>
            <w:tcW w:w="3249" w:type="dxa"/>
            <w:gridSpan w:val="2"/>
          </w:tcPr>
          <w:p w:rsidR="001D5F1E" w:rsidRDefault="001D5F1E" w:rsidP="00532F05">
            <w:pPr>
              <w:bidi w:val="0"/>
              <w:jc w:val="right"/>
              <w:rPr>
                <w:rFonts w:ascii="Arial" w:hAnsi="Arial"/>
                <w:b/>
                <w:bCs/>
                <w:noProof w:val="0"/>
                <w:sz w:val="26"/>
                <w:szCs w:val="26"/>
              </w:rPr>
            </w:pPr>
          </w:p>
          <w:sdt>
            <w:sdtPr>
              <w:alias w:val="1180"/>
              <w:tag w:val="1180"/>
              <w:id w:val="2064520869"/>
              <w:text w:multiLine="1"/>
            </w:sdtPr>
            <w:sdtEndPr/>
            <w:sdtContent>
              <w:p w:rsidR="001D5F1E" w:rsidRDefault="001D5F1E" w:rsidP="00532F05">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1D5F1E" w:rsidRDefault="001D5F1E" w:rsidP="00532F05">
            <w:pPr>
              <w:rPr>
                <w:rFonts w:ascii="Arial" w:hAnsi="Arial"/>
                <w:b/>
                <w:bCs/>
                <w:noProof w:val="0"/>
                <w:sz w:val="26"/>
                <w:szCs w:val="26"/>
              </w:rPr>
            </w:pPr>
          </w:p>
          <w:p w:rsidR="001D5F1E" w:rsidRDefault="006F5DAB" w:rsidP="00532F05">
            <w:pPr>
              <w:rPr>
                <w:b/>
                <w:bCs/>
                <w:noProof w:val="0"/>
                <w:sz w:val="26"/>
                <w:szCs w:val="26"/>
                <w:rtl/>
              </w:rPr>
            </w:pPr>
            <w:r>
              <w:rPr>
                <w:rFonts w:ascii="Arial" w:hAnsi="Arial" w:hint="cs"/>
                <w:b/>
                <w:bCs/>
                <w:noProof w:val="0"/>
                <w:sz w:val="26"/>
                <w:szCs w:val="26"/>
                <w:rtl/>
              </w:rPr>
              <w:t>פלונית</w:t>
            </w:r>
          </w:p>
          <w:p w:rsidR="006F5DAB" w:rsidRPr="006F5DAB" w:rsidRDefault="006F5DAB" w:rsidP="00532F05">
            <w:pPr>
              <w:rPr>
                <w:noProof w:val="0"/>
                <w:sz w:val="26"/>
                <w:szCs w:val="26"/>
              </w:rPr>
            </w:pPr>
            <w:r>
              <w:rPr>
                <w:rFonts w:hint="cs"/>
                <w:noProof w:val="0"/>
                <w:sz w:val="26"/>
                <w:szCs w:val="26"/>
                <w:rtl/>
              </w:rPr>
              <w:t>ע"י ב"כ עוה"ד שני רופא</w:t>
            </w:r>
          </w:p>
        </w:tc>
      </w:tr>
      <w:tr w:rsidR="001D5F1E" w:rsidTr="00532F05">
        <w:tc>
          <w:tcPr>
            <w:tcW w:w="8820" w:type="dxa"/>
            <w:gridSpan w:val="3"/>
          </w:tcPr>
          <w:p w:rsidR="001D5F1E" w:rsidRDefault="001D5F1E" w:rsidP="00532F05">
            <w:pPr>
              <w:rPr>
                <w:rFonts w:ascii="Arial" w:hAnsi="Arial"/>
                <w:b/>
                <w:bCs/>
                <w:noProof w:val="0"/>
                <w:sz w:val="26"/>
                <w:szCs w:val="26"/>
                <w:rtl/>
              </w:rPr>
            </w:pPr>
          </w:p>
          <w:p w:rsidR="001D5F1E" w:rsidRDefault="001D5F1E" w:rsidP="00532F05">
            <w:pPr>
              <w:jc w:val="center"/>
              <w:rPr>
                <w:rFonts w:ascii="Arial" w:hAnsi="Arial"/>
                <w:b/>
                <w:bCs/>
                <w:noProof w:val="0"/>
                <w:sz w:val="26"/>
                <w:szCs w:val="26"/>
                <w:rtl/>
              </w:rPr>
            </w:pPr>
            <w:r>
              <w:rPr>
                <w:rFonts w:ascii="Arial" w:hAnsi="Arial"/>
                <w:b/>
                <w:bCs/>
                <w:noProof w:val="0"/>
                <w:sz w:val="26"/>
                <w:szCs w:val="26"/>
                <w:rtl/>
              </w:rPr>
              <w:t>נגד</w:t>
            </w:r>
          </w:p>
          <w:p w:rsidR="001D5F1E" w:rsidRDefault="001D5F1E" w:rsidP="00532F05">
            <w:pPr>
              <w:rPr>
                <w:rFonts w:ascii="Arial" w:hAnsi="Arial"/>
                <w:b/>
                <w:bCs/>
                <w:noProof w:val="0"/>
                <w:sz w:val="26"/>
                <w:szCs w:val="26"/>
              </w:rPr>
            </w:pPr>
          </w:p>
        </w:tc>
      </w:tr>
      <w:tr w:rsidR="001D5F1E" w:rsidTr="00532F05">
        <w:tc>
          <w:tcPr>
            <w:tcW w:w="3249" w:type="dxa"/>
            <w:gridSpan w:val="2"/>
          </w:tcPr>
          <w:p w:rsidR="001D5F1E" w:rsidRDefault="001D5F1E" w:rsidP="00532F05">
            <w:pPr>
              <w:rPr>
                <w:rFonts w:ascii="Arial" w:hAnsi="Arial"/>
                <w:b/>
                <w:bCs/>
                <w:noProof w:val="0"/>
                <w:sz w:val="26"/>
                <w:szCs w:val="26"/>
                <w:rtl/>
              </w:rPr>
            </w:pPr>
          </w:p>
          <w:p w:rsidR="001D5F1E" w:rsidRDefault="00B54F3A" w:rsidP="00532F05">
            <w:pPr>
              <w:rPr>
                <w:rFonts w:ascii="Arial" w:hAnsi="Arial"/>
                <w:b/>
                <w:bCs/>
                <w:noProof w:val="0"/>
                <w:sz w:val="26"/>
                <w:szCs w:val="26"/>
              </w:rPr>
            </w:pPr>
            <w:sdt>
              <w:sdtPr>
                <w:rPr>
                  <w:rtl/>
                </w:rPr>
                <w:alias w:val="1184"/>
                <w:tag w:val="1184"/>
                <w:id w:val="385841288"/>
                <w:text w:multiLine="1"/>
              </w:sdtPr>
              <w:sdtEndPr/>
              <w:sdtContent>
                <w:r w:rsidR="001D5F1E">
                  <w:rPr>
                    <w:rFonts w:ascii="Arial" w:hAnsi="Arial"/>
                    <w:b/>
                    <w:bCs/>
                    <w:noProof w:val="0"/>
                    <w:sz w:val="26"/>
                    <w:szCs w:val="26"/>
                    <w:rtl/>
                  </w:rPr>
                  <w:t>נתבע</w:t>
                </w:r>
              </w:sdtContent>
            </w:sdt>
          </w:p>
        </w:tc>
        <w:tc>
          <w:tcPr>
            <w:tcW w:w="5571" w:type="dxa"/>
          </w:tcPr>
          <w:p w:rsidR="001D5F1E" w:rsidRDefault="001D5F1E" w:rsidP="00532F05">
            <w:pPr>
              <w:rPr>
                <w:rFonts w:ascii="Arial" w:hAnsi="Arial"/>
                <w:b/>
                <w:bCs/>
                <w:noProof w:val="0"/>
                <w:sz w:val="26"/>
                <w:szCs w:val="26"/>
                <w:rtl/>
              </w:rPr>
            </w:pPr>
          </w:p>
          <w:p w:rsidR="001D5F1E" w:rsidRDefault="006F5DAB" w:rsidP="00532F05">
            <w:pPr>
              <w:rPr>
                <w:b/>
                <w:bCs/>
                <w:noProof w:val="0"/>
                <w:sz w:val="26"/>
                <w:szCs w:val="26"/>
                <w:rtl/>
              </w:rPr>
            </w:pPr>
            <w:r w:rsidRPr="006F5DAB">
              <w:rPr>
                <w:rFonts w:hint="cs"/>
                <w:b/>
                <w:bCs/>
                <w:rtl/>
              </w:rPr>
              <w:t>פלוני</w:t>
            </w:r>
          </w:p>
          <w:p w:rsidR="006F5DAB" w:rsidRPr="006F5DAB" w:rsidRDefault="006F5DAB" w:rsidP="00532F05">
            <w:pPr>
              <w:rPr>
                <w:noProof w:val="0"/>
                <w:sz w:val="26"/>
                <w:szCs w:val="26"/>
                <w:rtl/>
              </w:rPr>
            </w:pPr>
            <w:r>
              <w:rPr>
                <w:rFonts w:hint="cs"/>
                <w:noProof w:val="0"/>
                <w:sz w:val="26"/>
                <w:szCs w:val="26"/>
                <w:rtl/>
              </w:rPr>
              <w:t>ע"י ב"כ עוה"ד ארתור שני ועוה"ד עומר עשת</w:t>
            </w:r>
          </w:p>
          <w:p w:rsidR="001D5F1E" w:rsidRDefault="001D5F1E" w:rsidP="00532F05">
            <w:pPr>
              <w:rPr>
                <w:b/>
                <w:bCs/>
                <w:noProof w:val="0"/>
                <w:sz w:val="26"/>
                <w:szCs w:val="26"/>
                <w:rtl/>
              </w:rPr>
            </w:pPr>
          </w:p>
        </w:tc>
      </w:tr>
      <w:tr w:rsidR="001D5F1E" w:rsidTr="00532F05">
        <w:tc>
          <w:tcPr>
            <w:tcW w:w="8820" w:type="dxa"/>
            <w:gridSpan w:val="3"/>
          </w:tcPr>
          <w:p w:rsidR="001D5F1E" w:rsidRDefault="001D5F1E" w:rsidP="00532F05">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D5F1E" w:rsidRPr="00597373" w:rsidTr="00532F05">
        <w:trPr>
          <w:jc w:val="center"/>
        </w:trPr>
        <w:tc>
          <w:tcPr>
            <w:tcW w:w="8820" w:type="dxa"/>
          </w:tcPr>
          <w:p w:rsidR="001D5F1E" w:rsidRPr="00597373" w:rsidRDefault="001D5F1E" w:rsidP="00532F05">
            <w:pPr>
              <w:bidi w:val="0"/>
              <w:jc w:val="center"/>
              <w:rPr>
                <w:rFonts w:ascii="Arial" w:hAnsi="Arial"/>
                <w:b/>
                <w:bCs/>
                <w:i/>
                <w:iCs/>
                <w:noProof w:val="0"/>
                <w:sz w:val="36"/>
                <w:szCs w:val="36"/>
              </w:rPr>
            </w:pPr>
          </w:p>
          <w:p w:rsidR="001D5F1E" w:rsidRDefault="001D5F1E" w:rsidP="00532F05">
            <w:pPr>
              <w:bidi w:val="0"/>
              <w:jc w:val="center"/>
              <w:rPr>
                <w:rFonts w:ascii="Arial" w:hAnsi="Arial"/>
                <w:b/>
                <w:bCs/>
                <w:i/>
                <w:iCs/>
                <w:noProof w:val="0"/>
                <w:sz w:val="36"/>
                <w:szCs w:val="36"/>
                <w:u w:val="single"/>
                <w:rtl/>
              </w:rPr>
            </w:pPr>
            <w:r w:rsidRPr="00597373">
              <w:rPr>
                <w:rFonts w:ascii="Arial" w:hAnsi="Arial" w:hint="cs"/>
                <w:b/>
                <w:bCs/>
                <w:i/>
                <w:iCs/>
                <w:noProof w:val="0"/>
                <w:sz w:val="36"/>
                <w:szCs w:val="36"/>
                <w:u w:val="single"/>
                <w:rtl/>
              </w:rPr>
              <w:t>החלטה</w:t>
            </w:r>
          </w:p>
          <w:p w:rsidR="006F5DAB" w:rsidRPr="00597373" w:rsidRDefault="006F5DAB" w:rsidP="006F5DAB">
            <w:pPr>
              <w:bidi w:val="0"/>
              <w:jc w:val="center"/>
              <w:rPr>
                <w:rFonts w:ascii="Arial" w:hAnsi="Arial"/>
                <w:b/>
                <w:bCs/>
                <w:i/>
                <w:iCs/>
                <w:noProof w:val="0"/>
                <w:sz w:val="36"/>
                <w:szCs w:val="36"/>
                <w:u w:val="single"/>
              </w:rPr>
            </w:pPr>
          </w:p>
        </w:tc>
      </w:tr>
    </w:tbl>
    <w:p w:rsidR="001D5F1E" w:rsidRDefault="001D5F1E" w:rsidP="001D5F1E">
      <w:pPr>
        <w:spacing w:line="360" w:lineRule="auto"/>
        <w:jc w:val="both"/>
        <w:rPr>
          <w:rFonts w:ascii="David" w:hAnsi="David"/>
          <w:noProof w:val="0"/>
        </w:rPr>
      </w:pPr>
      <w:r>
        <w:rPr>
          <w:rFonts w:ascii="David" w:hAnsi="David"/>
          <w:rtl/>
        </w:rPr>
        <w:t>לפניי הליך העוסק באחריות הורית וחלוקת זמני שהות בעניין הקטינים:</w:t>
      </w:r>
    </w:p>
    <w:p w:rsidR="001D5F1E" w:rsidRDefault="001D5F1E" w:rsidP="001D5F1E">
      <w:pPr>
        <w:spacing w:line="360" w:lineRule="auto"/>
        <w:jc w:val="both"/>
        <w:rPr>
          <w:rFonts w:ascii="David" w:hAnsi="David"/>
          <w:rtl/>
        </w:rPr>
      </w:pPr>
    </w:p>
    <w:p w:rsidR="001D5F1E" w:rsidRDefault="00C42A1E" w:rsidP="00922920">
      <w:pPr>
        <w:spacing w:line="360" w:lineRule="auto"/>
        <w:jc w:val="both"/>
        <w:rPr>
          <w:rFonts w:ascii="David" w:hAnsi="David"/>
          <w:rtl/>
        </w:rPr>
      </w:pPr>
      <w:r>
        <w:rPr>
          <w:rFonts w:ascii="David" w:hAnsi="David" w:hint="cs"/>
          <w:rtl/>
        </w:rPr>
        <w:t>***</w:t>
      </w:r>
      <w:r w:rsidR="0077224A">
        <w:rPr>
          <w:rFonts w:ascii="David" w:hAnsi="David"/>
          <w:rtl/>
        </w:rPr>
        <w:t xml:space="preserve"> </w:t>
      </w:r>
      <w:r w:rsidR="0077224A">
        <w:rPr>
          <w:rFonts w:ascii="David" w:hAnsi="David"/>
          <w:rtl/>
        </w:rPr>
        <w:tab/>
      </w:r>
      <w:r w:rsidR="001D5F1E">
        <w:rPr>
          <w:rFonts w:ascii="David" w:hAnsi="David"/>
          <w:rtl/>
        </w:rPr>
        <w:t xml:space="preserve">ילידת </w:t>
      </w:r>
      <w:r w:rsidR="00922920">
        <w:rPr>
          <w:rFonts w:ascii="David" w:hAnsi="David" w:hint="cs"/>
          <w:rtl/>
        </w:rPr>
        <w:t>00</w:t>
      </w:r>
      <w:r w:rsidR="001D5F1E">
        <w:rPr>
          <w:rFonts w:ascii="David" w:hAnsi="David"/>
          <w:rtl/>
        </w:rPr>
        <w:t>.</w:t>
      </w:r>
      <w:r w:rsidR="00922920">
        <w:rPr>
          <w:rFonts w:ascii="David" w:hAnsi="David" w:hint="cs"/>
          <w:rtl/>
        </w:rPr>
        <w:t>00</w:t>
      </w:r>
      <w:r w:rsidR="001D5F1E">
        <w:rPr>
          <w:rFonts w:ascii="David" w:hAnsi="David"/>
          <w:rtl/>
        </w:rPr>
        <w:t>.2011 (להלן: "</w:t>
      </w:r>
      <w:r w:rsidR="001D5F1E">
        <w:rPr>
          <w:rFonts w:ascii="David" w:hAnsi="David"/>
          <w:b/>
          <w:bCs/>
          <w:rtl/>
        </w:rPr>
        <w:t>הקטינה</w:t>
      </w:r>
      <w:r w:rsidR="001D5F1E">
        <w:rPr>
          <w:rFonts w:ascii="David" w:hAnsi="David"/>
          <w:rtl/>
        </w:rPr>
        <w:t>")</w:t>
      </w:r>
    </w:p>
    <w:p w:rsidR="001D5F1E" w:rsidRDefault="00C42A1E" w:rsidP="00922920">
      <w:pPr>
        <w:spacing w:line="360" w:lineRule="auto"/>
        <w:jc w:val="both"/>
        <w:rPr>
          <w:rFonts w:ascii="David" w:hAnsi="David"/>
          <w:rtl/>
        </w:rPr>
      </w:pPr>
      <w:r>
        <w:rPr>
          <w:rFonts w:ascii="David" w:hAnsi="David" w:hint="cs"/>
          <w:rtl/>
        </w:rPr>
        <w:t>***</w:t>
      </w:r>
      <w:r w:rsidR="001D5F1E">
        <w:rPr>
          <w:rFonts w:ascii="David" w:hAnsi="David"/>
          <w:rtl/>
        </w:rPr>
        <w:t xml:space="preserve"> </w:t>
      </w:r>
      <w:r w:rsidR="001D5F1E">
        <w:rPr>
          <w:rFonts w:ascii="David" w:hAnsi="David"/>
          <w:rtl/>
        </w:rPr>
        <w:tab/>
        <w:t xml:space="preserve">יליד </w:t>
      </w:r>
      <w:r w:rsidR="00922920">
        <w:rPr>
          <w:rFonts w:ascii="David" w:hAnsi="David" w:hint="cs"/>
          <w:rtl/>
        </w:rPr>
        <w:t>00</w:t>
      </w:r>
      <w:r w:rsidR="001D5F1E">
        <w:rPr>
          <w:rFonts w:ascii="David" w:hAnsi="David"/>
          <w:rtl/>
        </w:rPr>
        <w:t>.</w:t>
      </w:r>
      <w:r w:rsidR="00922920">
        <w:rPr>
          <w:rFonts w:ascii="David" w:hAnsi="David" w:hint="cs"/>
          <w:rtl/>
        </w:rPr>
        <w:t>00</w:t>
      </w:r>
      <w:r w:rsidR="001D5F1E">
        <w:rPr>
          <w:rFonts w:ascii="David" w:hAnsi="David"/>
          <w:rtl/>
        </w:rPr>
        <w:t>.2014 (להלן: "</w:t>
      </w:r>
      <w:r w:rsidR="001D5F1E">
        <w:rPr>
          <w:rFonts w:ascii="David" w:hAnsi="David"/>
          <w:b/>
          <w:bCs/>
          <w:rtl/>
        </w:rPr>
        <w:t>הקטין</w:t>
      </w:r>
      <w:r w:rsidR="001D5F1E">
        <w:rPr>
          <w:rFonts w:ascii="David" w:hAnsi="David"/>
          <w:rtl/>
        </w:rPr>
        <w:t>")</w:t>
      </w:r>
    </w:p>
    <w:p w:rsidR="001D5F1E" w:rsidRDefault="00020DF3" w:rsidP="001D5F1E">
      <w:pPr>
        <w:spacing w:line="360" w:lineRule="auto"/>
        <w:jc w:val="both"/>
        <w:rPr>
          <w:rFonts w:ascii="David" w:hAnsi="David"/>
          <w:rtl/>
        </w:rPr>
      </w:pPr>
      <w:r>
        <w:rPr>
          <w:rFonts w:ascii="David" w:hAnsi="David"/>
          <w:rtl/>
        </w:rPr>
        <w:t xml:space="preserve">(שניהם </w:t>
      </w:r>
      <w:r w:rsidR="001D5F1E">
        <w:rPr>
          <w:rFonts w:ascii="David" w:hAnsi="David"/>
          <w:rtl/>
        </w:rPr>
        <w:t>יחד ייקראו להלן: "</w:t>
      </w:r>
      <w:r w:rsidR="001D5F1E">
        <w:rPr>
          <w:rFonts w:ascii="David" w:hAnsi="David"/>
          <w:b/>
          <w:bCs/>
          <w:rtl/>
        </w:rPr>
        <w:t>הקטינים</w:t>
      </w:r>
      <w:r w:rsidR="001D5F1E">
        <w:rPr>
          <w:rFonts w:ascii="David" w:hAnsi="David"/>
          <w:rtl/>
        </w:rPr>
        <w:t>")</w:t>
      </w:r>
    </w:p>
    <w:p w:rsidR="001D5F1E" w:rsidRDefault="001D5F1E" w:rsidP="001D5F1E">
      <w:pPr>
        <w:spacing w:line="360" w:lineRule="auto"/>
        <w:jc w:val="both"/>
        <w:rPr>
          <w:rFonts w:ascii="David" w:hAnsi="David"/>
          <w:rtl/>
        </w:rPr>
      </w:pPr>
    </w:p>
    <w:p w:rsidR="001D5F1E" w:rsidRDefault="001D5F1E" w:rsidP="001D5F1E">
      <w:pPr>
        <w:spacing w:line="360" w:lineRule="auto"/>
        <w:jc w:val="both"/>
        <w:rPr>
          <w:rFonts w:ascii="David" w:hAnsi="David"/>
          <w:b/>
          <w:bCs/>
          <w:u w:val="single"/>
          <w:rtl/>
        </w:rPr>
      </w:pPr>
      <w:r>
        <w:rPr>
          <w:rFonts w:ascii="David" w:hAnsi="David"/>
          <w:b/>
          <w:bCs/>
          <w:u w:val="single"/>
          <w:rtl/>
        </w:rPr>
        <w:t>רקע עובדתי רלוונטי</w:t>
      </w:r>
    </w:p>
    <w:p w:rsidR="001D5F1E" w:rsidRDefault="001D5F1E" w:rsidP="001D5F1E">
      <w:pPr>
        <w:spacing w:line="360" w:lineRule="auto"/>
        <w:jc w:val="both"/>
        <w:rPr>
          <w:rFonts w:ascii="David" w:hAnsi="David"/>
          <w:b/>
          <w:bCs/>
          <w:u w:val="single"/>
          <w:rtl/>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האב והאם (להלן: "</w:t>
      </w:r>
      <w:r>
        <w:rPr>
          <w:rFonts w:ascii="David" w:hAnsi="David" w:cs="David"/>
          <w:b/>
          <w:bCs/>
          <w:sz w:val="24"/>
          <w:szCs w:val="24"/>
          <w:rtl/>
        </w:rPr>
        <w:t>הצדדים</w:t>
      </w:r>
      <w:r>
        <w:rPr>
          <w:rFonts w:ascii="David" w:hAnsi="David" w:cs="David"/>
          <w:sz w:val="24"/>
          <w:szCs w:val="24"/>
          <w:rtl/>
        </w:rPr>
        <w:t xml:space="preserve">") קשרו קשר למטרת הורות משותפת. </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מקשר זה נולדו לצדדים שני הקטינים.</w:t>
      </w:r>
    </w:p>
    <w:p w:rsidR="001D5F1E" w:rsidRDefault="001D5F1E" w:rsidP="001D5F1E">
      <w:pPr>
        <w:pStyle w:val="aa"/>
        <w:spacing w:line="360" w:lineRule="auto"/>
        <w:ind w:left="509" w:hanging="567"/>
        <w:rPr>
          <w:rFonts w:ascii="David" w:hAnsi="David" w:cs="David"/>
          <w:sz w:val="24"/>
          <w:szCs w:val="24"/>
        </w:rPr>
      </w:pPr>
    </w:p>
    <w:p w:rsidR="001D5F1E" w:rsidRDefault="001D5F1E" w:rsidP="00676826">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ביום </w:t>
      </w:r>
      <w:r w:rsidR="00676826">
        <w:rPr>
          <w:rFonts w:ascii="David" w:hAnsi="David" w:cs="David" w:hint="cs"/>
          <w:sz w:val="24"/>
          <w:szCs w:val="24"/>
          <w:rtl/>
        </w:rPr>
        <w:t>00</w:t>
      </w:r>
      <w:r>
        <w:rPr>
          <w:rFonts w:ascii="David" w:hAnsi="David" w:cs="David"/>
          <w:sz w:val="24"/>
          <w:szCs w:val="24"/>
          <w:rtl/>
        </w:rPr>
        <w:t>.</w:t>
      </w:r>
      <w:r w:rsidR="00676826">
        <w:rPr>
          <w:rFonts w:ascii="David" w:hAnsi="David" w:cs="David" w:hint="cs"/>
          <w:sz w:val="24"/>
          <w:szCs w:val="24"/>
          <w:rtl/>
        </w:rPr>
        <w:t>00</w:t>
      </w:r>
      <w:r>
        <w:rPr>
          <w:rFonts w:ascii="David" w:hAnsi="David" w:cs="David"/>
          <w:sz w:val="24"/>
          <w:szCs w:val="24"/>
          <w:rtl/>
        </w:rPr>
        <w:t>.</w:t>
      </w:r>
      <w:r w:rsidR="00676826">
        <w:rPr>
          <w:rFonts w:ascii="David" w:hAnsi="David" w:cs="David" w:hint="cs"/>
          <w:sz w:val="24"/>
          <w:szCs w:val="24"/>
          <w:rtl/>
        </w:rPr>
        <w:t>0000</w:t>
      </w:r>
      <w:r>
        <w:rPr>
          <w:rFonts w:ascii="David" w:hAnsi="David" w:cs="David"/>
          <w:sz w:val="24"/>
          <w:szCs w:val="24"/>
          <w:rtl/>
        </w:rPr>
        <w:t xml:space="preserve"> חתמו הצדדים על הסכם הורות במטרה להסדיר, בין היתר, תוכנית הורות. </w:t>
      </w:r>
    </w:p>
    <w:p w:rsidR="001D5F1E" w:rsidRDefault="001D5F1E" w:rsidP="001D5F1E">
      <w:pPr>
        <w:pStyle w:val="aa"/>
        <w:spacing w:line="360" w:lineRule="auto"/>
        <w:ind w:left="509" w:hanging="567"/>
        <w:rPr>
          <w:rFonts w:ascii="David" w:hAnsi="David" w:cs="David"/>
          <w:sz w:val="24"/>
          <w:szCs w:val="24"/>
          <w:rtl/>
        </w:rPr>
      </w:pPr>
    </w:p>
    <w:p w:rsidR="001D5F1E" w:rsidRDefault="000B490D" w:rsidP="000B490D">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האם מתגוררת ב</w:t>
      </w:r>
      <w:r>
        <w:rPr>
          <w:rFonts w:ascii="David" w:hAnsi="David" w:cs="David" w:hint="cs"/>
          <w:sz w:val="24"/>
          <w:szCs w:val="24"/>
          <w:rtl/>
        </w:rPr>
        <w:t>***</w:t>
      </w:r>
      <w:r w:rsidR="001D5F1E">
        <w:rPr>
          <w:rFonts w:ascii="David" w:hAnsi="David" w:cs="David"/>
          <w:sz w:val="24"/>
          <w:szCs w:val="24"/>
          <w:rtl/>
        </w:rPr>
        <w:t xml:space="preserve"> והאב מתגורר ב</w:t>
      </w:r>
      <w:r>
        <w:rPr>
          <w:rFonts w:ascii="David" w:hAnsi="David" w:cs="David" w:hint="cs"/>
          <w:sz w:val="24"/>
          <w:szCs w:val="24"/>
          <w:rtl/>
        </w:rPr>
        <w:t>***</w:t>
      </w:r>
      <w:r w:rsidR="001D5F1E">
        <w:rPr>
          <w:rFonts w:ascii="David" w:hAnsi="David" w:cs="David"/>
          <w:sz w:val="24"/>
          <w:szCs w:val="24"/>
          <w:rtl/>
        </w:rPr>
        <w:t xml:space="preserve">. הקטינים לומדים בבית הספר </w:t>
      </w:r>
      <w:r>
        <w:rPr>
          <w:rFonts w:ascii="David" w:hAnsi="David" w:cs="David" w:hint="cs"/>
          <w:sz w:val="24"/>
          <w:szCs w:val="24"/>
          <w:rtl/>
        </w:rPr>
        <w:t>***</w:t>
      </w:r>
      <w:r w:rsidR="001D5F1E">
        <w:rPr>
          <w:rFonts w:ascii="David" w:hAnsi="David" w:cs="David"/>
          <w:sz w:val="24"/>
          <w:szCs w:val="24"/>
          <w:rtl/>
        </w:rPr>
        <w:t xml:space="preserve"> ב</w:t>
      </w:r>
      <w:r>
        <w:rPr>
          <w:rFonts w:ascii="David" w:hAnsi="David" w:cs="David" w:hint="cs"/>
          <w:sz w:val="24"/>
          <w:szCs w:val="24"/>
          <w:rtl/>
        </w:rPr>
        <w:t>***</w:t>
      </w:r>
      <w:r w:rsidR="001D5F1E">
        <w:rPr>
          <w:rFonts w:ascii="David" w:hAnsi="David" w:cs="David"/>
          <w:sz w:val="24"/>
          <w:szCs w:val="24"/>
          <w:rtl/>
        </w:rPr>
        <w:t xml:space="preserve">. </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הקטינים שוהים עם האב בימים שני וחמישי כולל לינה ובכל סופ"ש שני (מיום ה' עד יום א'). ביתר הימים הקטינים שוהים עם האם. </w:t>
      </w:r>
    </w:p>
    <w:p w:rsidR="000D4567" w:rsidRPr="000D4567" w:rsidRDefault="000D4567" w:rsidP="000D4567">
      <w:pPr>
        <w:pStyle w:val="aa"/>
        <w:rPr>
          <w:rFonts w:ascii="David" w:hAnsi="David" w:cs="David"/>
          <w:sz w:val="24"/>
          <w:szCs w:val="24"/>
          <w:rtl/>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בעקבות מחלוקות בנוגע לקטינים, הוגשה תביעה בעניינם והתעוררה מחלוקת בסוגיית מוסדות החינוך בהם ילמדו הקטינים: האב מבקש כי הקטינים ילמדו במוסדות חינוך באזור מגוריו, והאם מבקשת כי הקטינים ילמדו במוסדות חינוך באזור מגוריה. </w:t>
      </w:r>
    </w:p>
    <w:p w:rsidR="001D5F1E" w:rsidRPr="00597373" w:rsidRDefault="001D5F1E" w:rsidP="001D5F1E">
      <w:pPr>
        <w:pStyle w:val="aa"/>
        <w:spacing w:line="360" w:lineRule="auto"/>
        <w:ind w:left="509" w:hanging="567"/>
        <w:rPr>
          <w:rFonts w:ascii="David" w:hAnsi="David" w:cs="David"/>
          <w:sz w:val="24"/>
          <w:szCs w:val="24"/>
        </w:rPr>
      </w:pPr>
    </w:p>
    <w:p w:rsidR="001D5F1E" w:rsidRDefault="002B4FFC"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על</w:t>
      </w:r>
      <w:r>
        <w:rPr>
          <w:rFonts w:ascii="David" w:hAnsi="David" w:cs="David" w:hint="cs"/>
          <w:sz w:val="24"/>
          <w:szCs w:val="24"/>
          <w:rtl/>
        </w:rPr>
        <w:t>-</w:t>
      </w:r>
      <w:r w:rsidR="001D5F1E">
        <w:rPr>
          <w:rFonts w:ascii="David" w:hAnsi="David" w:cs="David"/>
          <w:sz w:val="24"/>
          <w:szCs w:val="24"/>
          <w:rtl/>
        </w:rPr>
        <w:t xml:space="preserve">מנת להציג לפני בית המשפט את קולם של הקטינים ואת עמדתם, מונתה אפוטרופסה לדין והוגשה עמדה מטעמה. במסגרת העמדה ביקשה האפוטרופסה לדין להגיש עמדה חסויה בעניין רצון הקטינה. </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האב התנגד להגשת העמדה החסויה והוא ביקש לקבוע מועד לדיון.</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לאור התנגדות האב נבחנה האפשרות לשמוע את הקטינה בלשכת השופט ואולם הקטינה ביקשה להביע את קולה באמצעות האפוטרופסה לדין, הן מפני שהיא כבר נשמעה על-ידי בית המשפט בעבר והן מפני שהיא נמצאת בתקופה עמוסה בחייה.</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בדיון שנקבע על-פי בקשת האב, הצדדים השלימו את טיעוניהם בעל-פה והאפוטרופסה לדין חזרה על בקשתה להגיש עמדה חסויה והבהירה את חשיבות העניין.</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לצדדים ניתנה זכות טיעון ביחס להגשת העמדה החסויה, לרבות מקור הסמכות להגשתה:</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spacing w:after="0" w:line="360" w:lineRule="auto"/>
        <w:ind w:left="509"/>
        <w:jc w:val="both"/>
        <w:rPr>
          <w:rFonts w:ascii="David" w:hAnsi="David" w:cs="David"/>
          <w:sz w:val="24"/>
          <w:szCs w:val="24"/>
          <w:rtl/>
        </w:rPr>
      </w:pPr>
      <w:r>
        <w:rPr>
          <w:rFonts w:ascii="David" w:hAnsi="David" w:cs="David"/>
          <w:sz w:val="24"/>
          <w:szCs w:val="24"/>
          <w:u w:val="single"/>
          <w:rtl/>
        </w:rPr>
        <w:t>האפוטרופסה לדין</w:t>
      </w:r>
      <w:r>
        <w:rPr>
          <w:rFonts w:ascii="David" w:hAnsi="David" w:cs="David"/>
          <w:sz w:val="24"/>
          <w:szCs w:val="24"/>
          <w:rtl/>
        </w:rPr>
        <w:t xml:space="preserve"> טענה, בין היתר, כי הגשת עמדה חסויה היא "נוהג" אשר נועד להציג בפני בית המשפט תמונה מלאה;</w:t>
      </w:r>
    </w:p>
    <w:p w:rsidR="001D5F1E" w:rsidRDefault="001D5F1E" w:rsidP="001D5F1E">
      <w:pPr>
        <w:pStyle w:val="aa"/>
        <w:spacing w:after="0" w:line="360" w:lineRule="auto"/>
        <w:jc w:val="both"/>
        <w:rPr>
          <w:rFonts w:ascii="David" w:hAnsi="David" w:cs="David"/>
          <w:sz w:val="24"/>
          <w:szCs w:val="24"/>
          <w:rtl/>
        </w:rPr>
      </w:pPr>
    </w:p>
    <w:p w:rsidR="001D5F1E" w:rsidRDefault="001D5F1E" w:rsidP="001D5F1E">
      <w:pPr>
        <w:pStyle w:val="aa"/>
        <w:spacing w:after="0" w:line="360" w:lineRule="auto"/>
        <w:ind w:left="509"/>
        <w:jc w:val="both"/>
        <w:rPr>
          <w:rFonts w:ascii="David" w:hAnsi="David" w:cs="David"/>
          <w:sz w:val="24"/>
          <w:szCs w:val="24"/>
          <w:rtl/>
        </w:rPr>
      </w:pPr>
      <w:r>
        <w:rPr>
          <w:rFonts w:ascii="David" w:hAnsi="David" w:cs="David"/>
          <w:sz w:val="24"/>
          <w:szCs w:val="24"/>
          <w:u w:val="single"/>
          <w:rtl/>
        </w:rPr>
        <w:t>האב</w:t>
      </w:r>
      <w:r>
        <w:rPr>
          <w:rFonts w:ascii="David" w:hAnsi="David" w:cs="David"/>
          <w:sz w:val="24"/>
          <w:szCs w:val="24"/>
          <w:rtl/>
        </w:rPr>
        <w:t xml:space="preserve"> טען, בין היתר, כי ישנו "נוהל של משרד המשפטים בדבר קווים מנחים לייצוג נוער מהסיוע המשפטי" ובשום מקום לא כתוב בו שדרך המלך הינה הגשת עמדה חסויה. עוד טען כי הגשת עמדה חסויה מעוררת קושי בהיותה עדות מפי שמועה והדבר פוגע בזכות להליך הוגן;</w:t>
      </w:r>
    </w:p>
    <w:p w:rsidR="001D5F1E" w:rsidRDefault="001D5F1E" w:rsidP="001D5F1E">
      <w:pPr>
        <w:pStyle w:val="aa"/>
        <w:spacing w:after="0" w:line="360" w:lineRule="auto"/>
        <w:jc w:val="both"/>
        <w:rPr>
          <w:rFonts w:ascii="David" w:hAnsi="David" w:cs="David"/>
          <w:sz w:val="24"/>
          <w:szCs w:val="24"/>
          <w:rtl/>
        </w:rPr>
      </w:pPr>
    </w:p>
    <w:p w:rsidR="001D5F1E" w:rsidRDefault="001D5F1E" w:rsidP="001D5F1E">
      <w:pPr>
        <w:pStyle w:val="aa"/>
        <w:spacing w:after="0" w:line="360" w:lineRule="auto"/>
        <w:ind w:left="509"/>
        <w:jc w:val="both"/>
        <w:rPr>
          <w:rFonts w:ascii="David" w:hAnsi="David" w:cs="David"/>
          <w:sz w:val="24"/>
          <w:szCs w:val="24"/>
          <w:rtl/>
        </w:rPr>
      </w:pPr>
      <w:r>
        <w:rPr>
          <w:rFonts w:ascii="David" w:hAnsi="David" w:cs="David"/>
          <w:sz w:val="24"/>
          <w:szCs w:val="24"/>
          <w:u w:val="single"/>
          <w:rtl/>
        </w:rPr>
        <w:t>האם</w:t>
      </w:r>
      <w:r>
        <w:rPr>
          <w:rFonts w:ascii="David" w:hAnsi="David" w:cs="David"/>
          <w:sz w:val="24"/>
          <w:szCs w:val="24"/>
          <w:rtl/>
        </w:rPr>
        <w:t xml:space="preserve"> טענה, בין היתר, כי זכות הקטין להישמע מוסדרת בדין וככל שהקטין חושש להביע את רגשותיו ורצונו, יש לאפשר הגשת עמדה חסויה.</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בטרם ההכרעה בסוגיית הגשת העמדה החסויה, על-פי בקשת בית המשפט, נעשה ניסיון נוסף להזמין את הקטינה ללשכתו וכאשר ניסיון זה לא הניב פרי – מפני שהקטינה ביקשה, בין היתר, להביע את רצונה באמצעות האפוטרופסה לדין – חזרה האפוטרופסה לדין על בקשתה להגיש את העמדה החסויה תוך שהיא מבהירה את חשיבותה.</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בנסיבות אלה נדרש בית המשפט להכריע בשאלה האם רשאי אפוטרופוס לדין להגיש עמדה חסויה בעניין רצונו של קטין.</w:t>
      </w:r>
    </w:p>
    <w:p w:rsidR="001D5F1E" w:rsidRDefault="001D5F1E" w:rsidP="001D5F1E">
      <w:pPr>
        <w:pStyle w:val="aa"/>
        <w:spacing w:line="360" w:lineRule="auto"/>
        <w:rPr>
          <w:rFonts w:ascii="David" w:hAnsi="David" w:cs="David"/>
          <w:sz w:val="24"/>
          <w:szCs w:val="24"/>
        </w:rPr>
      </w:pPr>
    </w:p>
    <w:p w:rsidR="001D5F1E" w:rsidRDefault="001D5F1E" w:rsidP="001D5F1E">
      <w:pPr>
        <w:spacing w:line="360" w:lineRule="auto"/>
        <w:jc w:val="both"/>
        <w:rPr>
          <w:rFonts w:ascii="David" w:hAnsi="David"/>
          <w:b/>
          <w:bCs/>
          <w:u w:val="single"/>
        </w:rPr>
      </w:pPr>
      <w:r>
        <w:rPr>
          <w:rFonts w:ascii="David" w:hAnsi="David"/>
          <w:b/>
          <w:bCs/>
          <w:u w:val="single"/>
          <w:rtl/>
        </w:rPr>
        <w:lastRenderedPageBreak/>
        <w:t>הכרעה</w:t>
      </w:r>
    </w:p>
    <w:p w:rsidR="001D5F1E" w:rsidRDefault="001D5F1E" w:rsidP="001D5F1E">
      <w:pPr>
        <w:pStyle w:val="aa"/>
        <w:spacing w:line="360" w:lineRule="auto"/>
        <w:rPr>
          <w:rFonts w:ascii="David" w:hAnsi="David" w:cs="David"/>
          <w:sz w:val="24"/>
          <w:szCs w:val="24"/>
          <w:rtl/>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לאחר עיון בעמדות הצדדים ושמיעת טיעוניהם, הגעתי למסקנה כי יש מקום לאפשר את הגשת העמדה החסויה.</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ברע"א 7906/20 </w:t>
      </w:r>
      <w:r>
        <w:rPr>
          <w:rFonts w:ascii="David" w:hAnsi="David" w:cs="David"/>
          <w:b/>
          <w:bCs/>
          <w:sz w:val="24"/>
          <w:szCs w:val="24"/>
          <w:rtl/>
        </w:rPr>
        <w:t>הדרי אשקלון - אגודה שיתופית חקלאית בע"מ נ' סויסה</w:t>
      </w:r>
      <w:r>
        <w:rPr>
          <w:rFonts w:ascii="David" w:hAnsi="David" w:cs="David"/>
          <w:sz w:val="24"/>
          <w:szCs w:val="24"/>
          <w:rtl/>
        </w:rPr>
        <w:t xml:space="preserve"> (23.11.2020) סוכמה ההלכה לפיה:</w:t>
      </w:r>
    </w:p>
    <w:p w:rsidR="001D5F1E" w:rsidRDefault="001D5F1E" w:rsidP="001D5F1E">
      <w:pPr>
        <w:pStyle w:val="aa"/>
        <w:spacing w:after="0" w:line="360" w:lineRule="auto"/>
        <w:jc w:val="both"/>
        <w:rPr>
          <w:rFonts w:ascii="David" w:hAnsi="David" w:cs="David"/>
          <w:sz w:val="24"/>
          <w:szCs w:val="24"/>
        </w:rPr>
      </w:pPr>
    </w:p>
    <w:p w:rsidR="001D5F1E" w:rsidRDefault="001D5F1E" w:rsidP="001D5F1E">
      <w:pPr>
        <w:pStyle w:val="aa"/>
        <w:spacing w:after="0" w:line="360" w:lineRule="auto"/>
        <w:ind w:left="907" w:right="907"/>
        <w:jc w:val="both"/>
        <w:rPr>
          <w:rFonts w:ascii="David" w:hAnsi="David" w:cs="David"/>
          <w:i/>
          <w:iCs/>
          <w:sz w:val="24"/>
          <w:szCs w:val="24"/>
          <w:rtl/>
        </w:rPr>
      </w:pPr>
      <w:r>
        <w:rPr>
          <w:rFonts w:ascii="David" w:hAnsi="David" w:cs="David"/>
          <w:i/>
          <w:iCs/>
          <w:sz w:val="24"/>
          <w:szCs w:val="24"/>
          <w:rtl/>
        </w:rPr>
        <w:t>"המשפט עומד על האמת. ביסוד ההליך השיפוטי עומדת חשיפת האמת [...] מטרת ההליך השיפוטי כולו</w:t>
      </w:r>
      <w:r>
        <w:rPr>
          <w:rFonts w:ascii="David" w:hAnsi="David" w:cs="David"/>
          <w:i/>
          <w:iCs/>
          <w:sz w:val="24"/>
          <w:szCs w:val="24"/>
        </w:rPr>
        <w:t xml:space="preserve"> </w:t>
      </w:r>
      <w:r>
        <w:rPr>
          <w:rFonts w:ascii="David" w:hAnsi="David" w:cs="David"/>
          <w:i/>
          <w:iCs/>
          <w:sz w:val="24"/>
          <w:szCs w:val="24"/>
          <w:rtl/>
        </w:rPr>
        <w:t>הינה - כלשונו של הנשיא זמורה - 'להוציא כאור משפט' [...] תפקידו של ההליך השיפוטי - האזרחי, הפלילי והמינהלי - הינו 'לחשוף את האמת, וזו מטרתו העיקרית' [...] תפקידו של השופט, הוא 'התפקיד לעשות כדי שהאמת תצא לאור העולם' [...] 'לאמת יוציא משפט' (ישעיהו, מב, ג). 'משפט אמת שפטו' (זכריה, ז, ט)" (רע"א 1412/94 הסתדרות מדיצינית הדסה עין-כרם נ' גלעד, מט(2) 516, פסקה 5 (1995))".</w:t>
      </w:r>
    </w:p>
    <w:p w:rsidR="001D5F1E" w:rsidRDefault="001D5F1E" w:rsidP="001D5F1E">
      <w:pPr>
        <w:pStyle w:val="aa"/>
        <w:spacing w:line="360" w:lineRule="auto"/>
        <w:ind w:left="509" w:hanging="567"/>
        <w:rPr>
          <w:rFonts w:ascii="David" w:hAnsi="David" w:cs="David"/>
          <w:sz w:val="24"/>
          <w:szCs w:val="24"/>
          <w:rtl/>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פסיקה זו מקבלת משנה תוקף מקום בו עסקינן בעניין הנוגע לקטין ועל בית המשפט – בתור אבי הקטינים </w:t>
      </w:r>
      <w:r>
        <w:rPr>
          <w:rFonts w:ascii="David" w:hAnsi="David" w:cs="David"/>
          <w:b/>
          <w:bCs/>
          <w:sz w:val="24"/>
          <w:szCs w:val="24"/>
          <w:rtl/>
        </w:rPr>
        <w:t>ראו</w:t>
      </w:r>
      <w:r>
        <w:rPr>
          <w:rFonts w:ascii="David" w:hAnsi="David" w:cs="David"/>
          <w:sz w:val="24"/>
          <w:szCs w:val="24"/>
          <w:rtl/>
        </w:rPr>
        <w:t xml:space="preserve">: רמ"ש 77932-01-23 </w:t>
      </w:r>
      <w:r>
        <w:rPr>
          <w:rFonts w:ascii="David" w:hAnsi="David" w:cs="David"/>
          <w:b/>
          <w:bCs/>
          <w:sz w:val="24"/>
          <w:szCs w:val="24"/>
          <w:rtl/>
        </w:rPr>
        <w:t xml:space="preserve">פלוני נ' פלונית </w:t>
      </w:r>
      <w:r>
        <w:rPr>
          <w:rFonts w:ascii="David" w:hAnsi="David" w:cs="David"/>
          <w:sz w:val="24"/>
          <w:szCs w:val="24"/>
          <w:rtl/>
        </w:rPr>
        <w:t xml:space="preserve">(25.2.2023) – לקבל את התמונה המלאה בטרם יכריע בעניינו של קטין </w:t>
      </w:r>
      <w:r>
        <w:rPr>
          <w:rFonts w:ascii="David" w:hAnsi="David" w:cs="David"/>
          <w:b/>
          <w:bCs/>
          <w:sz w:val="24"/>
          <w:szCs w:val="24"/>
          <w:rtl/>
        </w:rPr>
        <w:t>ראו</w:t>
      </w:r>
      <w:r>
        <w:rPr>
          <w:rFonts w:ascii="David" w:hAnsi="David" w:cs="David"/>
          <w:sz w:val="24"/>
          <w:szCs w:val="24"/>
          <w:rtl/>
        </w:rPr>
        <w:t xml:space="preserve">: בג"ץ 5227-97 </w:t>
      </w:r>
      <w:r>
        <w:rPr>
          <w:rFonts w:ascii="David" w:hAnsi="David" w:cs="David"/>
          <w:b/>
          <w:bCs/>
          <w:sz w:val="24"/>
          <w:szCs w:val="24"/>
          <w:rtl/>
        </w:rPr>
        <w:t>דויד נ' בית הדין הרבני הגדול בירושלים</w:t>
      </w:r>
      <w:r>
        <w:rPr>
          <w:rFonts w:ascii="David" w:hAnsi="David" w:cs="David"/>
          <w:sz w:val="24"/>
          <w:szCs w:val="24"/>
          <w:rtl/>
        </w:rPr>
        <w:t xml:space="preserve">, פ"ד נה(1) 453 (1998); עמ"ש 51566-10-20 </w:t>
      </w:r>
      <w:r>
        <w:rPr>
          <w:rFonts w:ascii="David" w:hAnsi="David" w:cs="David"/>
          <w:b/>
          <w:bCs/>
          <w:sz w:val="24"/>
          <w:szCs w:val="24"/>
          <w:rtl/>
        </w:rPr>
        <w:t>א' ב' נ' ג' ד'</w:t>
      </w:r>
      <w:r>
        <w:rPr>
          <w:rFonts w:ascii="David" w:hAnsi="David" w:cs="David"/>
          <w:sz w:val="24"/>
          <w:szCs w:val="24"/>
          <w:rtl/>
        </w:rPr>
        <w:t xml:space="preserve"> (18.3.2021).</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לשם קבלת התמונה המלאה ו"הרכבת הפאזל" בעניין הקטין סביבו נסוב הדיון וטובתו, העניקו המחוקק הישראלי ומתקין התקנות, לבית המשפט לענייני משפחה ארגז כלים שנועד, בין היתר, לאפשר לבית המשפט לשמוע את קולו של הקטין ואת רצונו. זאת לנוכח זכותו של הקטין להשמיע את קולו בפני בית המשפט </w:t>
      </w:r>
      <w:r>
        <w:rPr>
          <w:rFonts w:ascii="David" w:hAnsi="David" w:cs="David"/>
          <w:b/>
          <w:bCs/>
          <w:sz w:val="24"/>
          <w:szCs w:val="24"/>
          <w:rtl/>
        </w:rPr>
        <w:t>ראו</w:t>
      </w:r>
      <w:r>
        <w:rPr>
          <w:rFonts w:ascii="David" w:hAnsi="David" w:cs="David"/>
          <w:sz w:val="24"/>
          <w:szCs w:val="24"/>
          <w:rtl/>
        </w:rPr>
        <w:t>: תלה"מ 10817-01-22</w:t>
      </w:r>
      <w:r>
        <w:rPr>
          <w:rFonts w:ascii="David" w:hAnsi="David" w:cs="David"/>
          <w:b/>
          <w:bCs/>
          <w:sz w:val="24"/>
          <w:szCs w:val="24"/>
          <w:rtl/>
        </w:rPr>
        <w:t xml:space="preserve"> פלונית נ' אלמוני (</w:t>
      </w:r>
      <w:r>
        <w:rPr>
          <w:rFonts w:ascii="David" w:hAnsi="David" w:cs="David"/>
          <w:sz w:val="24"/>
          <w:szCs w:val="24"/>
          <w:rtl/>
        </w:rPr>
        <w:t xml:space="preserve">25.8.2022) ולנוכח חשיבות של זכות זו </w:t>
      </w:r>
      <w:r>
        <w:rPr>
          <w:rFonts w:ascii="David" w:hAnsi="David" w:cs="David"/>
          <w:b/>
          <w:bCs/>
          <w:sz w:val="24"/>
          <w:szCs w:val="24"/>
          <w:rtl/>
        </w:rPr>
        <w:t>ראו</w:t>
      </w:r>
      <w:r>
        <w:rPr>
          <w:rFonts w:ascii="David" w:hAnsi="David" w:cs="David"/>
          <w:sz w:val="24"/>
          <w:szCs w:val="24"/>
          <w:rtl/>
        </w:rPr>
        <w:t xml:space="preserve">: בע"מ 2086/22 </w:t>
      </w:r>
      <w:r>
        <w:rPr>
          <w:rFonts w:ascii="David" w:hAnsi="David" w:cs="David"/>
          <w:b/>
          <w:bCs/>
          <w:sz w:val="24"/>
          <w:szCs w:val="24"/>
          <w:rtl/>
        </w:rPr>
        <w:t>פלוני נ' פלונית</w:t>
      </w:r>
      <w:r>
        <w:rPr>
          <w:rFonts w:ascii="David" w:hAnsi="David" w:cs="David"/>
          <w:sz w:val="24"/>
          <w:szCs w:val="24"/>
          <w:rtl/>
        </w:rPr>
        <w:t xml:space="preserve"> (29.3.2022).</w:t>
      </w:r>
    </w:p>
    <w:p w:rsidR="001D5F1E" w:rsidRDefault="001D5F1E" w:rsidP="001D5F1E">
      <w:pPr>
        <w:pStyle w:val="aa"/>
        <w:spacing w:line="360" w:lineRule="auto"/>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אחד הכלים המצוי בארגז הכלים של בית המשפט לענייני משפחה הינו כלי המכונה "שמיעת הילד". תקנה 49 לתקנות בית המשפט לענייני משפחה (סדרי דין), התשפ"א–2020 (להלן: "</w:t>
      </w:r>
      <w:r>
        <w:rPr>
          <w:rFonts w:ascii="David" w:hAnsi="David" w:cs="David"/>
          <w:b/>
          <w:bCs/>
          <w:sz w:val="24"/>
          <w:szCs w:val="24"/>
          <w:rtl/>
        </w:rPr>
        <w:t>תקנות המשפחה</w:t>
      </w:r>
      <w:r>
        <w:rPr>
          <w:rFonts w:ascii="David" w:hAnsi="David" w:cs="David"/>
          <w:sz w:val="24"/>
          <w:szCs w:val="24"/>
          <w:rtl/>
        </w:rPr>
        <w:t>") קובעת כי ככלל ולמעט מקרים חריגים, בית המשפט הדן בעניינו של ילד, ייתן לו הזדמנות להביע את רגשותיו, דעותיו ורצונותיו וייתן להם משקל ראוי בהחלטתו.</w:t>
      </w:r>
    </w:p>
    <w:p w:rsidR="001D5F1E" w:rsidRDefault="001D5F1E" w:rsidP="001D5F1E">
      <w:pPr>
        <w:pStyle w:val="aa"/>
        <w:spacing w:line="360" w:lineRule="auto"/>
        <w:ind w:left="509" w:hanging="567"/>
        <w:rPr>
          <w:rFonts w:ascii="David" w:hAnsi="David" w:cs="David"/>
          <w:sz w:val="24"/>
          <w:szCs w:val="24"/>
          <w:rtl/>
        </w:rPr>
      </w:pPr>
    </w:p>
    <w:p w:rsidR="001D5F1E" w:rsidRDefault="001D5F1E" w:rsidP="001D5F1E">
      <w:pPr>
        <w:pStyle w:val="aa"/>
        <w:spacing w:line="360" w:lineRule="auto"/>
        <w:ind w:left="509" w:hanging="567"/>
        <w:rPr>
          <w:rFonts w:ascii="David" w:hAnsi="David" w:cs="David"/>
          <w:sz w:val="24"/>
          <w:szCs w:val="24"/>
          <w:rtl/>
        </w:rPr>
      </w:pPr>
    </w:p>
    <w:p w:rsidR="001D5F1E" w:rsidRDefault="001D5F1E" w:rsidP="001D5F1E">
      <w:pPr>
        <w:pStyle w:val="aa"/>
        <w:spacing w:line="360" w:lineRule="auto"/>
        <w:ind w:left="509" w:hanging="567"/>
        <w:rPr>
          <w:rFonts w:ascii="David" w:hAnsi="David" w:cs="David"/>
          <w:sz w:val="24"/>
          <w:szCs w:val="24"/>
          <w:rtl/>
        </w:rPr>
      </w:pP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lastRenderedPageBreak/>
        <w:t xml:space="preserve">תקנות המשפחה קובעות את האופן בו יישמע הילד, כאשר בין אם הילד יישמע על-ידי בית המשפט </w:t>
      </w:r>
      <w:r>
        <w:rPr>
          <w:rFonts w:ascii="David" w:hAnsi="David" w:cs="David"/>
          <w:b/>
          <w:bCs/>
          <w:sz w:val="24"/>
          <w:szCs w:val="24"/>
          <w:rtl/>
        </w:rPr>
        <w:t>ראו: תקנה 53 לתקנות המשפחה</w:t>
      </w:r>
      <w:r>
        <w:rPr>
          <w:rFonts w:ascii="David" w:hAnsi="David" w:cs="David"/>
          <w:sz w:val="24"/>
          <w:szCs w:val="24"/>
          <w:rtl/>
        </w:rPr>
        <w:t xml:space="preserve"> ובין אם באמצעות עובד יחידת הסיוע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תקנה 54 לתקנות</w:t>
      </w:r>
      <w:r>
        <w:rPr>
          <w:rFonts w:ascii="David" w:hAnsi="David" w:cs="David"/>
          <w:sz w:val="24"/>
          <w:szCs w:val="24"/>
          <w:rtl/>
        </w:rPr>
        <w:t xml:space="preserve">, שמיעתו תיערך בלא נוכחות הוריו או באי כוחם </w:t>
      </w:r>
      <w:r>
        <w:rPr>
          <w:rFonts w:ascii="David" w:hAnsi="David" w:cs="David"/>
          <w:b/>
          <w:bCs/>
          <w:sz w:val="24"/>
          <w:szCs w:val="24"/>
          <w:rtl/>
        </w:rPr>
        <w:t>ראו: תקנה 51 (ג) לתקנות המשפחה</w:t>
      </w:r>
      <w:r>
        <w:rPr>
          <w:rFonts w:ascii="David" w:hAnsi="David" w:cs="David"/>
          <w:sz w:val="24"/>
          <w:szCs w:val="24"/>
          <w:rtl/>
        </w:rPr>
        <w:t>.</w:t>
      </w:r>
    </w:p>
    <w:p w:rsidR="001D5F1E" w:rsidRDefault="001D5F1E" w:rsidP="001D5F1E">
      <w:pPr>
        <w:pStyle w:val="aa"/>
        <w:spacing w:line="360" w:lineRule="auto"/>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התרשומת שנערכת אגב שמיעת הילד וכן דברים שמסר נשמרים בכספת בית המשפט או באופן מאובטח אחר, והם יהיו חסויים בפני כל אדם, למעט בית המשפט שלערעור </w:t>
      </w:r>
      <w:r>
        <w:rPr>
          <w:rFonts w:ascii="David" w:hAnsi="David" w:cs="David"/>
          <w:b/>
          <w:bCs/>
          <w:sz w:val="24"/>
          <w:szCs w:val="24"/>
          <w:rtl/>
        </w:rPr>
        <w:t>ראו: תקנה 55 לתקנות המשפחה</w:t>
      </w:r>
      <w:r>
        <w:rPr>
          <w:rFonts w:ascii="David" w:hAnsi="David" w:cs="David"/>
          <w:sz w:val="24"/>
          <w:szCs w:val="24"/>
          <w:rtl/>
        </w:rPr>
        <w:t>.</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במילים אחרות, מתקין התקנות ביקש לאפשר לילד להשמיע את קולו באופן עצמאי, מבלי שדבריו ייחשפו בפני מאן דהוא, לרבות בפני הוריו ובאי כוחם. יתרה מכך, מעבר לחיסיון שהוטל על דברי הילד, מתקין התקנות אפשר לבית המשפט גם לא לפרט בהחלטתו את דברי הילד, אלא אם כן הסכים הילד לגילוי הדברים, כולם או חלקם, ובית המשפט מצא כי יהיה בגילוי כדי לקדם את טובתו</w:t>
      </w:r>
      <w:r>
        <w:rPr>
          <w:rFonts w:ascii="David" w:hAnsi="David" w:cs="David"/>
          <w:b/>
          <w:bCs/>
          <w:sz w:val="24"/>
          <w:szCs w:val="24"/>
          <w:rtl/>
        </w:rPr>
        <w:t xml:space="preserve"> ראו: תקנה 55 לתקנות המשפחה</w:t>
      </w:r>
      <w:r>
        <w:rPr>
          <w:rFonts w:ascii="David" w:hAnsi="David" w:cs="David"/>
          <w:sz w:val="24"/>
          <w:szCs w:val="24"/>
          <w:rtl/>
        </w:rPr>
        <w:t>.</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כלומר מתקין התקנות יצר מנגנון אשר מאפשר הגשת תרשומת חסויה בעניין הילד. </w:t>
      </w:r>
    </w:p>
    <w:p w:rsidR="001D5F1E" w:rsidRDefault="001D5F1E" w:rsidP="001D5F1E">
      <w:pPr>
        <w:pStyle w:val="aa"/>
        <w:spacing w:line="360" w:lineRule="auto"/>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נשאלת אפוא השאלה האם מנגנון זה חל גם על עמדה המוגשת על-ידי האפוטרופסה לדין. לטעמי, התשובה לשאלה זו היא חיובית והדבר נלמד מהוראת </w:t>
      </w:r>
      <w:r>
        <w:rPr>
          <w:rFonts w:ascii="David" w:hAnsi="David" w:cs="David"/>
          <w:b/>
          <w:bCs/>
          <w:sz w:val="24"/>
          <w:szCs w:val="24"/>
          <w:rtl/>
        </w:rPr>
        <w:t>תקנה 53 לתקנות המשפחה</w:t>
      </w:r>
      <w:r>
        <w:rPr>
          <w:rFonts w:ascii="David" w:hAnsi="David" w:cs="David"/>
          <w:sz w:val="24"/>
          <w:szCs w:val="24"/>
          <w:rtl/>
        </w:rPr>
        <w:t>, הקובעת כך:</w:t>
      </w:r>
    </w:p>
    <w:p w:rsidR="001D5F1E" w:rsidRDefault="001D5F1E" w:rsidP="001D5F1E">
      <w:pPr>
        <w:pStyle w:val="aa"/>
        <w:spacing w:line="360" w:lineRule="auto"/>
        <w:rPr>
          <w:rFonts w:ascii="David" w:hAnsi="David" w:cs="David"/>
          <w:sz w:val="24"/>
          <w:szCs w:val="24"/>
        </w:rPr>
      </w:pPr>
    </w:p>
    <w:p w:rsidR="001D5F1E" w:rsidRDefault="001D5F1E" w:rsidP="001D5F1E">
      <w:pPr>
        <w:pStyle w:val="aa"/>
        <w:spacing w:after="0" w:line="360" w:lineRule="auto"/>
        <w:ind w:left="907" w:right="907"/>
        <w:jc w:val="both"/>
        <w:rPr>
          <w:rFonts w:ascii="David" w:hAnsi="David" w:cs="David"/>
          <w:b/>
          <w:bCs/>
          <w:sz w:val="24"/>
          <w:szCs w:val="24"/>
          <w:rtl/>
        </w:rPr>
      </w:pPr>
      <w:r>
        <w:rPr>
          <w:rFonts w:ascii="David" w:hAnsi="David" w:cs="David"/>
          <w:b/>
          <w:bCs/>
          <w:sz w:val="24"/>
          <w:szCs w:val="24"/>
          <w:rtl/>
        </w:rPr>
        <w:t>"בחר הילד להשמיע את דבריו לפני שופט, רשאי השופט להחליט לשמוע את הילד בנוכחות עובד יחידת הסיוע או אפוטרופוס לדין; תיערך תרשומת של עיקרי דבריו של הילד"</w:t>
      </w:r>
    </w:p>
    <w:p w:rsidR="001D5F1E" w:rsidRDefault="001D5F1E" w:rsidP="001D5F1E">
      <w:pPr>
        <w:pStyle w:val="aa"/>
        <w:spacing w:line="360" w:lineRule="auto"/>
        <w:ind w:left="509" w:hanging="567"/>
        <w:rPr>
          <w:rFonts w:ascii="David" w:hAnsi="David" w:cs="David"/>
          <w:sz w:val="24"/>
          <w:szCs w:val="24"/>
          <w:rtl/>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במילים אחרות, כשם שמתקין התקנות השווה בין עובד יחידת הסיוע לבין אפוטרופוס לדין לצורך שמיעת הילד ועריכת עיקרי דבריו – סבורני כי כך גם אין כל מניעה כי אפוטרופוס לדין יערוך עמדה כתובה הכוללת את דברי הילד כשהיא חסויה.</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דרך נוספת באמצעותה ניתן לקבל עמדה חסויה מטעם אפוטרופוס לדין הינה עשיית שימוש בסעיף 8 (א) לחוק בית המשפט לענייני משפחה, התשנ"ה–1995 (להלן: "</w:t>
      </w:r>
      <w:r>
        <w:rPr>
          <w:rFonts w:ascii="David" w:hAnsi="David" w:cs="David"/>
          <w:b/>
          <w:bCs/>
          <w:sz w:val="24"/>
          <w:szCs w:val="24"/>
          <w:rtl/>
        </w:rPr>
        <w:t>החוק</w:t>
      </w:r>
      <w:r>
        <w:rPr>
          <w:rFonts w:ascii="David" w:hAnsi="David" w:cs="David"/>
          <w:sz w:val="24"/>
          <w:szCs w:val="24"/>
          <w:rtl/>
        </w:rPr>
        <w:t>") הקובע כי:</w:t>
      </w:r>
    </w:p>
    <w:p w:rsidR="001D5F1E" w:rsidRDefault="001D5F1E" w:rsidP="001D5F1E">
      <w:pPr>
        <w:pStyle w:val="aa"/>
        <w:spacing w:line="360" w:lineRule="auto"/>
        <w:rPr>
          <w:rFonts w:ascii="David" w:hAnsi="David" w:cs="David"/>
          <w:sz w:val="24"/>
          <w:szCs w:val="24"/>
        </w:rPr>
      </w:pPr>
    </w:p>
    <w:p w:rsidR="001D5F1E" w:rsidRDefault="001D5F1E" w:rsidP="001D5F1E">
      <w:pPr>
        <w:pStyle w:val="aa"/>
        <w:spacing w:after="0" w:line="360" w:lineRule="auto"/>
        <w:ind w:left="907" w:right="907"/>
        <w:jc w:val="both"/>
        <w:rPr>
          <w:rFonts w:ascii="David" w:hAnsi="David" w:cs="David"/>
          <w:sz w:val="24"/>
          <w:szCs w:val="24"/>
          <w:rtl/>
        </w:rPr>
      </w:pPr>
      <w:r>
        <w:rPr>
          <w:rFonts w:ascii="David" w:hAnsi="David" w:cs="David"/>
          <w:b/>
          <w:bCs/>
          <w:sz w:val="24"/>
          <w:szCs w:val="24"/>
          <w:rtl/>
        </w:rPr>
        <w:t>"בכל ענין של דיני ראיות וסדרי דין, שאין עליו הוראה אחרת, לפי חוק זה, ינהג בית המשפט בדרך הנראית לו הטובה ביותר לעשיית משפט צדק; אין בהוראה זו כדי לגרוע מכללי חסיונות עדים או כללי ראיות חסויות"</w:t>
      </w:r>
      <w:r>
        <w:rPr>
          <w:rFonts w:ascii="David" w:hAnsi="David" w:cs="David"/>
          <w:sz w:val="24"/>
          <w:szCs w:val="24"/>
          <w:rtl/>
        </w:rPr>
        <w:t>.</w:t>
      </w:r>
    </w:p>
    <w:p w:rsidR="001D5F1E" w:rsidRDefault="001D5F1E" w:rsidP="001D5F1E">
      <w:pPr>
        <w:pStyle w:val="aa"/>
        <w:spacing w:line="360" w:lineRule="auto"/>
        <w:ind w:left="509" w:hanging="567"/>
        <w:rPr>
          <w:rFonts w:ascii="David" w:hAnsi="David" w:cs="David"/>
          <w:sz w:val="24"/>
          <w:szCs w:val="24"/>
          <w:rtl/>
        </w:rPr>
      </w:pPr>
      <w:r>
        <w:rPr>
          <w:rFonts w:ascii="David" w:hAnsi="David" w:cs="David"/>
          <w:sz w:val="24"/>
          <w:szCs w:val="24"/>
          <w:rtl/>
        </w:rPr>
        <w:t xml:space="preserve"> </w:t>
      </w: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bookmarkStart w:id="1" w:name="casename_body"/>
      <w:r>
        <w:rPr>
          <w:rFonts w:ascii="David" w:hAnsi="David" w:cs="David"/>
          <w:sz w:val="24"/>
          <w:szCs w:val="24"/>
          <w:rtl/>
        </w:rPr>
        <w:lastRenderedPageBreak/>
        <w:t>בבע"ם 2764/16</w:t>
      </w:r>
      <w:bookmarkEnd w:id="1"/>
      <w:r>
        <w:rPr>
          <w:rFonts w:ascii="David" w:hAnsi="David" w:cs="David"/>
          <w:sz w:val="24"/>
          <w:szCs w:val="24"/>
          <w:rtl/>
        </w:rPr>
        <w:t xml:space="preserve"> </w:t>
      </w:r>
      <w:r>
        <w:rPr>
          <w:rFonts w:ascii="David" w:hAnsi="David" w:cs="David"/>
          <w:b/>
          <w:bCs/>
          <w:sz w:val="24"/>
          <w:szCs w:val="24"/>
          <w:rtl/>
        </w:rPr>
        <w:t>פלונית נ' פלונית</w:t>
      </w:r>
      <w:r>
        <w:rPr>
          <w:rFonts w:ascii="David" w:hAnsi="David" w:cs="David"/>
          <w:sz w:val="24"/>
          <w:szCs w:val="24"/>
          <w:rtl/>
        </w:rPr>
        <w:t xml:space="preserve"> (6.7.2016) נפסק כי:</w:t>
      </w:r>
    </w:p>
    <w:p w:rsidR="001D5F1E" w:rsidRDefault="001D5F1E" w:rsidP="001D5F1E">
      <w:pPr>
        <w:pStyle w:val="aa"/>
        <w:spacing w:line="360" w:lineRule="auto"/>
        <w:ind w:left="509" w:hanging="567"/>
        <w:rPr>
          <w:rFonts w:ascii="David" w:hAnsi="David" w:cs="David"/>
          <w:b/>
          <w:bCs/>
          <w:sz w:val="24"/>
          <w:szCs w:val="24"/>
        </w:rPr>
      </w:pPr>
    </w:p>
    <w:p w:rsidR="001D5F1E" w:rsidRDefault="001D5F1E" w:rsidP="001D5F1E">
      <w:pPr>
        <w:pStyle w:val="aa"/>
        <w:spacing w:after="0" w:line="360" w:lineRule="auto"/>
        <w:ind w:left="907" w:right="907"/>
        <w:jc w:val="both"/>
        <w:rPr>
          <w:rFonts w:ascii="David" w:hAnsi="David" w:cs="David"/>
          <w:i/>
          <w:iCs/>
          <w:sz w:val="24"/>
          <w:szCs w:val="24"/>
          <w:rtl/>
        </w:rPr>
      </w:pPr>
      <w:r w:rsidRPr="00597373">
        <w:rPr>
          <w:rFonts w:ascii="David" w:hAnsi="David" w:cs="David"/>
          <w:i/>
          <w:iCs/>
          <w:sz w:val="24"/>
          <w:szCs w:val="24"/>
          <w:rtl/>
        </w:rPr>
        <w:t>"כידוע, סעיף 8(א) ל</w:t>
      </w:r>
      <w:r w:rsidRPr="002B4FFC">
        <w:rPr>
          <w:rFonts w:ascii="David" w:hAnsi="David" w:cs="David" w:hint="cs"/>
          <w:i/>
          <w:iCs/>
          <w:sz w:val="24"/>
          <w:szCs w:val="24"/>
          <w:rtl/>
        </w:rPr>
        <w:t>חוק בית המשפט לענייני משפחה</w:t>
      </w:r>
      <w:r w:rsidRPr="00597373">
        <w:rPr>
          <w:rFonts w:ascii="David" w:hAnsi="David" w:cs="David" w:hint="cs"/>
          <w:i/>
          <w:iCs/>
          <w:sz w:val="24"/>
          <w:szCs w:val="24"/>
          <w:rtl/>
        </w:rPr>
        <w:t xml:space="preserve"> מוסר בידי בית המשפט </w:t>
      </w:r>
      <w:r>
        <w:rPr>
          <w:rFonts w:ascii="David" w:hAnsi="David" w:cs="David" w:hint="cs"/>
          <w:i/>
          <w:iCs/>
          <w:sz w:val="24"/>
          <w:szCs w:val="24"/>
          <w:rtl/>
        </w:rPr>
        <w:t>לענייני משפחה שיקול דעת רחב בכל הנוגע לסדרי הדין ולדיני ראיות בהוראתו כי בית המשפט מוסמך לנהוג בכל הנוגע לעניין של סדרי הדין ולדיני ראיות שאין עליו הוראה לפי חוק בית המשפט לענייני משפחה "בדרך הנראית לו הטובה ביותר לעשיית משפט צדק", וזאת בשל אופיו המיוחד של ההליך שהוא אינקוויזיטורי במהותו ונועד לאפשר לבית המשפט לרדת לחקר האמת במטרה לעשות משפט צדק, תוך שאיפה לפתרונות מהירים וכוללים של הסכסוך שבין הצדדים (ראו גם תקנה 258ב(ג) לתקנות סדר הדין האזרחי, התשמ"ד-1984; רע"א 3411/16 פלוני נ' משרד הרווחה ירושלים, [פורסם בנבו] פסקה 19 (20.6.2016); בע"ם 4738/13 פלוני נ' פלונית, [פורסם בנבו] פסקה 19 (3.9.2013); שאול שוחט ודוד שאוה סדר הדין בבית המשפט לענייני משפחה 314 (2009) (להלן: סדר הדין בבית המשפט לענייני משפחה))".</w:t>
      </w:r>
    </w:p>
    <w:p w:rsidR="001D5F1E" w:rsidRDefault="001D5F1E" w:rsidP="001D5F1E">
      <w:pPr>
        <w:pStyle w:val="aa"/>
        <w:spacing w:line="360" w:lineRule="auto"/>
        <w:ind w:left="509" w:hanging="567"/>
        <w:rPr>
          <w:rFonts w:ascii="David" w:hAnsi="David" w:cs="David"/>
          <w:b/>
          <w:bCs/>
          <w:sz w:val="24"/>
          <w:szCs w:val="24"/>
          <w:rtl/>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הצורך בעשיית שימוש בסעיף חוק זה מקבל משנה תוקף מקום בו עסקינן בקטינים וטובתם. נפסק לאחרונה בהקשר אחר, אך הדברים נכונים גם בענייננו, כי "בהתאם לסעיף 8 (א) לחוק בית משפט לענייני משפחה, היה על בית משפט קמא לעשות כל שלאל ידו על-מנת להגיע לתוצאה הצודקת, אשר הולמת את טובתם של הקטינים" </w:t>
      </w:r>
      <w:r>
        <w:rPr>
          <w:rFonts w:ascii="David" w:hAnsi="David" w:cs="David"/>
          <w:b/>
          <w:bCs/>
          <w:sz w:val="24"/>
          <w:szCs w:val="24"/>
          <w:rtl/>
        </w:rPr>
        <w:t>ראו</w:t>
      </w:r>
      <w:r>
        <w:rPr>
          <w:rFonts w:ascii="David" w:hAnsi="David" w:cs="David"/>
          <w:sz w:val="24"/>
          <w:szCs w:val="24"/>
          <w:rtl/>
        </w:rPr>
        <w:t xml:space="preserve">: עמ"ש 59345-11-22 </w:t>
      </w:r>
      <w:r>
        <w:rPr>
          <w:rFonts w:ascii="David" w:hAnsi="David" w:cs="David"/>
          <w:b/>
          <w:bCs/>
          <w:sz w:val="24"/>
          <w:szCs w:val="24"/>
          <w:rtl/>
        </w:rPr>
        <w:t xml:space="preserve">א. נ' ב. </w:t>
      </w:r>
      <w:r>
        <w:rPr>
          <w:rFonts w:ascii="David" w:hAnsi="David" w:cs="David"/>
          <w:sz w:val="24"/>
          <w:szCs w:val="24"/>
          <w:rtl/>
        </w:rPr>
        <w:t>(13.2.2023).</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במקרה שלפניי האפוטרופסה לדין הבהירה כי "קיימת חשיבות גדולה שבית המשפט יבין את רצון הקטינה... והתמונה המלאה תוגש בפני בית המשפט </w:t>
      </w:r>
      <w:r w:rsidR="002B4FFC">
        <w:rPr>
          <w:rFonts w:ascii="David" w:hAnsi="David" w:cs="David"/>
          <w:sz w:val="24"/>
          <w:szCs w:val="24"/>
          <w:rtl/>
        </w:rPr>
        <w:t>על-ידי</w:t>
      </w:r>
      <w:r>
        <w:rPr>
          <w:rFonts w:ascii="David" w:hAnsi="David" w:cs="David"/>
          <w:sz w:val="24"/>
          <w:szCs w:val="24"/>
          <w:rtl/>
        </w:rPr>
        <w:t xml:space="preserve"> הגשת דוח חסוי" </w:t>
      </w:r>
      <w:r>
        <w:rPr>
          <w:rFonts w:ascii="David" w:hAnsi="David" w:cs="David"/>
          <w:b/>
          <w:bCs/>
          <w:sz w:val="24"/>
          <w:szCs w:val="24"/>
          <w:rtl/>
        </w:rPr>
        <w:t>ראו: פרוט' עמ' 9 ש' 11-13</w:t>
      </w:r>
      <w:r>
        <w:rPr>
          <w:rFonts w:ascii="David" w:hAnsi="David" w:cs="David"/>
          <w:sz w:val="24"/>
          <w:szCs w:val="24"/>
          <w:rtl/>
        </w:rPr>
        <w:t>.</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האפוטרופסה לדין הוסיפה כי אם לא יוגש דו"ח חסוי "בית המשפט לא יהיה ער לדברים מהותיים..." </w:t>
      </w:r>
      <w:r>
        <w:rPr>
          <w:rFonts w:ascii="David" w:hAnsi="David" w:cs="David"/>
          <w:b/>
          <w:bCs/>
          <w:sz w:val="24"/>
          <w:szCs w:val="24"/>
          <w:rtl/>
        </w:rPr>
        <w:t>ראו: פרוט' עמ' 9 ש' 19-21</w:t>
      </w:r>
      <w:r>
        <w:rPr>
          <w:rFonts w:ascii="David" w:hAnsi="David" w:cs="David"/>
          <w:sz w:val="24"/>
          <w:szCs w:val="24"/>
          <w:rtl/>
        </w:rPr>
        <w:t>.</w:t>
      </w:r>
    </w:p>
    <w:p w:rsidR="001D5F1E" w:rsidRDefault="001D5F1E" w:rsidP="001D5F1E">
      <w:pPr>
        <w:pStyle w:val="aa"/>
        <w:spacing w:line="360" w:lineRule="auto"/>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עמדה זו של האפוטרופסה לדין – שתפקידה הוא להיות "שופר" של עמדת הקטינה ורצונה וכן להציג את טובתה בפני בית המשפט </w:t>
      </w:r>
      <w:r>
        <w:rPr>
          <w:rFonts w:ascii="David" w:hAnsi="David" w:cs="David"/>
          <w:b/>
          <w:bCs/>
          <w:sz w:val="24"/>
          <w:szCs w:val="24"/>
          <w:rtl/>
        </w:rPr>
        <w:t>ראו</w:t>
      </w:r>
      <w:r>
        <w:rPr>
          <w:rFonts w:ascii="David" w:hAnsi="David" w:cs="David"/>
          <w:sz w:val="24"/>
          <w:szCs w:val="24"/>
          <w:rtl/>
        </w:rPr>
        <w:t>: עמ"ש 8965-10-20</w:t>
      </w:r>
      <w:r>
        <w:rPr>
          <w:rFonts w:ascii="David" w:hAnsi="David" w:cs="David"/>
          <w:b/>
          <w:bCs/>
          <w:sz w:val="24"/>
          <w:szCs w:val="24"/>
          <w:rtl/>
        </w:rPr>
        <w:t xml:space="preserve"> פלונית נ' פלוני </w:t>
      </w:r>
      <w:r>
        <w:rPr>
          <w:rFonts w:ascii="David" w:hAnsi="David" w:cs="David"/>
          <w:sz w:val="24"/>
          <w:szCs w:val="24"/>
          <w:rtl/>
        </w:rPr>
        <w:t xml:space="preserve">(20.1.2021) – מצדיקה ואף מחייבת לעשות שימוש </w:t>
      </w:r>
      <w:r>
        <w:rPr>
          <w:rFonts w:ascii="David" w:hAnsi="David" w:cs="David"/>
          <w:b/>
          <w:bCs/>
          <w:sz w:val="24"/>
          <w:szCs w:val="24"/>
          <w:rtl/>
        </w:rPr>
        <w:t>בס' 8 (א) לחוק</w:t>
      </w:r>
      <w:r>
        <w:rPr>
          <w:rFonts w:ascii="David" w:hAnsi="David" w:cs="David"/>
          <w:sz w:val="24"/>
          <w:szCs w:val="24"/>
          <w:rtl/>
        </w:rPr>
        <w:t xml:space="preserve"> כדי לאפשר לה להגיש עמדה חסויה. </w:t>
      </w:r>
    </w:p>
    <w:p w:rsidR="001D5F1E" w:rsidRDefault="001D5F1E" w:rsidP="001D5F1E">
      <w:pPr>
        <w:pStyle w:val="aa"/>
        <w:spacing w:line="360" w:lineRule="auto"/>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דחיית בקשת האפוטרופסה לדין להגיש עמדה חסויה משמעותה התעלמות מרצון הקטינה ובעידן האמנה בדבר זכויות הילד ואימוצה בדין הישראלי, מחויב בית המשפט להביא בין שיקוליו את רצון הקטינה </w:t>
      </w:r>
      <w:r>
        <w:rPr>
          <w:rFonts w:ascii="David" w:hAnsi="David" w:cs="David"/>
          <w:b/>
          <w:bCs/>
          <w:sz w:val="24"/>
          <w:szCs w:val="24"/>
          <w:rtl/>
        </w:rPr>
        <w:t>ראו</w:t>
      </w:r>
      <w:r>
        <w:rPr>
          <w:rFonts w:ascii="David" w:hAnsi="David" w:cs="David"/>
          <w:sz w:val="24"/>
          <w:szCs w:val="24"/>
          <w:rtl/>
        </w:rPr>
        <w:t xml:space="preserve">: תמ"ש 30291-07-16 </w:t>
      </w:r>
      <w:r>
        <w:rPr>
          <w:rFonts w:ascii="David" w:hAnsi="David" w:cs="David"/>
          <w:b/>
          <w:bCs/>
          <w:sz w:val="24"/>
          <w:szCs w:val="24"/>
          <w:rtl/>
        </w:rPr>
        <w:t>צ. נ' צ.</w:t>
      </w:r>
      <w:r>
        <w:rPr>
          <w:rFonts w:ascii="David" w:hAnsi="David" w:cs="David"/>
          <w:sz w:val="24"/>
          <w:szCs w:val="24"/>
          <w:rtl/>
        </w:rPr>
        <w:t xml:space="preserve"> (22.5.2018).</w:t>
      </w:r>
    </w:p>
    <w:p w:rsidR="001D5F1E" w:rsidRDefault="001D5F1E" w:rsidP="001D5F1E">
      <w:pPr>
        <w:pStyle w:val="aa"/>
        <w:spacing w:line="360" w:lineRule="auto"/>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lastRenderedPageBreak/>
        <w:t>לא התעלמתי מטענת האב כי קיים נוהל של משרד המשפטים בדבר קווים מנחים לייצוג הקטינים ובשום מקום לא כתוב בו שדרך המלך הינה הגשת עמדה חסויה, יחד עם זאת האב לא טען כי נוהל זה איננו מאפשר, במידת הצורך, הגשת עמדה</w:t>
      </w:r>
      <w:r w:rsidR="001065AE">
        <w:rPr>
          <w:rFonts w:ascii="David" w:hAnsi="David" w:cs="David"/>
          <w:sz w:val="24"/>
          <w:szCs w:val="24"/>
          <w:rtl/>
        </w:rPr>
        <w:t xml:space="preserve"> של קטין בדרך זו, ומכל מקום </w:t>
      </w:r>
      <w:r>
        <w:rPr>
          <w:rFonts w:ascii="David" w:hAnsi="David" w:cs="David"/>
          <w:sz w:val="24"/>
          <w:szCs w:val="24"/>
          <w:rtl/>
        </w:rPr>
        <w:t>מעמדן הנורמטיבי של החקיקה הראשית וחקיקת המשנה גבוה יותר.</w:t>
      </w:r>
    </w:p>
    <w:p w:rsidR="001D5F1E" w:rsidRDefault="001D5F1E" w:rsidP="001D5F1E">
      <w:pPr>
        <w:pStyle w:val="aa"/>
        <w:spacing w:line="360" w:lineRule="auto"/>
        <w:ind w:left="509" w:hanging="567"/>
        <w:rPr>
          <w:rFonts w:ascii="David" w:hAnsi="David" w:cs="David"/>
          <w:sz w:val="24"/>
          <w:szCs w:val="24"/>
        </w:rPr>
      </w:pPr>
    </w:p>
    <w:p w:rsidR="001D5F1E" w:rsidRDefault="001D5F1E" w:rsidP="001D5F1E">
      <w:pPr>
        <w:pStyle w:val="aa"/>
        <w:numPr>
          <w:ilvl w:val="0"/>
          <w:numId w:val="1"/>
        </w:numPr>
        <w:spacing w:after="0" w:line="360" w:lineRule="auto"/>
        <w:ind w:left="509" w:hanging="567"/>
        <w:jc w:val="both"/>
        <w:rPr>
          <w:rFonts w:ascii="David" w:hAnsi="David" w:cs="David"/>
          <w:sz w:val="24"/>
          <w:szCs w:val="24"/>
          <w:rtl/>
        </w:rPr>
      </w:pPr>
      <w:r>
        <w:rPr>
          <w:rFonts w:ascii="David" w:hAnsi="David" w:cs="David"/>
          <w:sz w:val="24"/>
          <w:szCs w:val="24"/>
          <w:rtl/>
        </w:rPr>
        <w:t xml:space="preserve">לא התעלמתי מטענת האב כי הגשת עמדה חסויה לבית המשפט על-ידי האפוטרופסה לדין הינה עדות מפי שמועה. ואולם, כשם שמתקין התקנות אפשר לעובד יחידת הסיוע, כאשר הקטין נשמע בפניו ולא בפני בית המשפט, להגיש תרשומת הכוללת את דברי הילד </w:t>
      </w:r>
      <w:r>
        <w:rPr>
          <w:rFonts w:ascii="David" w:hAnsi="David" w:cs="David"/>
          <w:b/>
          <w:bCs/>
          <w:sz w:val="24"/>
          <w:szCs w:val="24"/>
          <w:rtl/>
        </w:rPr>
        <w:t xml:space="preserve">ראו: תקנה 54 לתקנות </w:t>
      </w:r>
      <w:r>
        <w:rPr>
          <w:rFonts w:ascii="David" w:hAnsi="David" w:cs="David"/>
          <w:sz w:val="24"/>
          <w:szCs w:val="24"/>
          <w:rtl/>
        </w:rPr>
        <w:t>ותרשומת זו אף היא בגדר עדות מפי שמועה שניתן להגישה, כך גם ניתן להגיש עמדה חסויה מטעם האפוטרופסה לדין.</w:t>
      </w:r>
    </w:p>
    <w:p w:rsidR="001D5F1E" w:rsidRDefault="001D5F1E" w:rsidP="001D5F1E">
      <w:pPr>
        <w:pStyle w:val="aa"/>
        <w:spacing w:line="360" w:lineRule="auto"/>
        <w:ind w:left="509" w:hanging="567"/>
        <w:rPr>
          <w:rFonts w:ascii="David" w:hAnsi="David" w:cs="David"/>
          <w:sz w:val="24"/>
          <w:szCs w:val="24"/>
        </w:rPr>
      </w:pPr>
    </w:p>
    <w:p w:rsidR="001D5F1E" w:rsidRDefault="001D5F1E" w:rsidP="002B4FFC">
      <w:pPr>
        <w:pStyle w:val="aa"/>
        <w:numPr>
          <w:ilvl w:val="0"/>
          <w:numId w:val="1"/>
        </w:numPr>
        <w:spacing w:after="0" w:line="360" w:lineRule="auto"/>
        <w:ind w:left="509" w:hanging="567"/>
        <w:jc w:val="both"/>
        <w:rPr>
          <w:rFonts w:ascii="David" w:hAnsi="David" w:cs="David"/>
          <w:sz w:val="24"/>
          <w:szCs w:val="24"/>
        </w:rPr>
      </w:pPr>
      <w:r>
        <w:rPr>
          <w:rFonts w:ascii="David" w:hAnsi="David" w:cs="David"/>
          <w:sz w:val="24"/>
          <w:szCs w:val="24"/>
          <w:rtl/>
        </w:rPr>
        <w:t xml:space="preserve">על יסוד נימוקים אלה, אני מקבל את בקשת האפוטרופסה לדין להגיש עמדה חסויה ולאחר עיון בה, ובכל המסמכים הנוספים הרלוונטיים, תינתן החלטה בנושא רישום הקטינים למוסדות החינוך. </w:t>
      </w:r>
    </w:p>
    <w:p w:rsidR="002B4FFC" w:rsidRPr="002B4FFC" w:rsidRDefault="002B4FFC" w:rsidP="002B4FFC">
      <w:pPr>
        <w:pStyle w:val="aa"/>
        <w:rPr>
          <w:rFonts w:ascii="David" w:hAnsi="David" w:cs="David"/>
          <w:sz w:val="24"/>
          <w:szCs w:val="24"/>
          <w:rtl/>
        </w:rPr>
      </w:pPr>
    </w:p>
    <w:p w:rsidR="002B4FFC" w:rsidRPr="002B4FFC" w:rsidRDefault="002B4FFC" w:rsidP="002B4FFC">
      <w:pPr>
        <w:pStyle w:val="aa"/>
        <w:numPr>
          <w:ilvl w:val="0"/>
          <w:numId w:val="1"/>
        </w:numPr>
        <w:spacing w:after="0" w:line="360" w:lineRule="auto"/>
        <w:ind w:left="509" w:hanging="567"/>
        <w:jc w:val="both"/>
        <w:rPr>
          <w:rFonts w:ascii="David" w:hAnsi="David" w:cs="David"/>
          <w:sz w:val="24"/>
          <w:szCs w:val="24"/>
          <w:rtl/>
        </w:rPr>
      </w:pPr>
      <w:r>
        <w:rPr>
          <w:rFonts w:ascii="David" w:hAnsi="David" w:cs="David" w:hint="cs"/>
          <w:sz w:val="24"/>
          <w:szCs w:val="24"/>
          <w:rtl/>
        </w:rPr>
        <w:t>אני מתיר את פרסום ההחלטה</w:t>
      </w:r>
      <w:r w:rsidR="00C30F8B">
        <w:rPr>
          <w:rFonts w:ascii="David" w:hAnsi="David" w:cs="David" w:hint="cs"/>
          <w:sz w:val="24"/>
          <w:szCs w:val="24"/>
          <w:rtl/>
        </w:rPr>
        <w:t>,</w:t>
      </w:r>
      <w:r>
        <w:rPr>
          <w:rFonts w:ascii="David" w:hAnsi="David" w:cs="David" w:hint="cs"/>
          <w:sz w:val="24"/>
          <w:szCs w:val="24"/>
          <w:rtl/>
        </w:rPr>
        <w:t xml:space="preserve"> לאחר השמטת פרטים מזהים.</w:t>
      </w:r>
    </w:p>
    <w:p w:rsidR="001D5F1E" w:rsidRDefault="001D5F1E" w:rsidP="001D5F1E">
      <w:pPr>
        <w:pStyle w:val="aa"/>
        <w:spacing w:after="0" w:line="360" w:lineRule="auto"/>
        <w:rPr>
          <w:rFonts w:ascii="David" w:hAnsi="David" w:cs="David"/>
          <w:sz w:val="24"/>
          <w:szCs w:val="24"/>
          <w:rtl/>
        </w:rPr>
      </w:pPr>
    </w:p>
    <w:p w:rsidR="001D5F1E" w:rsidRDefault="001D5F1E" w:rsidP="001D5F1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E701D">
        <w:rPr>
          <w:rFonts w:ascii="Arial" w:hAnsi="Arial"/>
          <w:noProof w:val="0"/>
          <w:rtl/>
        </w:rPr>
        <w:t xml:space="preserve"> היום,</w:t>
      </w:r>
      <w:r>
        <w:rPr>
          <w:rFonts w:ascii="Arial" w:hAnsi="Arial"/>
          <w:noProof w:val="0"/>
          <w:rtl/>
        </w:rPr>
        <w:t xml:space="preserve"> </w:t>
      </w:r>
      <w:sdt>
        <w:sdtPr>
          <w:rPr>
            <w:rtl/>
          </w:rPr>
          <w:alias w:val="1455"/>
          <w:tag w:val="1455"/>
          <w:id w:val="1321697131"/>
          <w:text w:multiLine="1"/>
        </w:sdtPr>
        <w:sdtEndPr/>
        <w:sdtContent>
          <w:r>
            <w:rPr>
              <w:rFonts w:ascii="Arial" w:hAnsi="Arial"/>
              <w:noProof w:val="0"/>
              <w:rtl/>
            </w:rPr>
            <w:t>כ' תמוז תשפ"ג</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09 יולי 2023</w:t>
          </w:r>
        </w:sdtContent>
      </w:sdt>
      <w:r>
        <w:rPr>
          <w:rFonts w:ascii="Arial" w:hAnsi="Arial"/>
          <w:noProof w:val="0"/>
          <w:rtl/>
        </w:rPr>
        <w:t>, בהעדר הצדדים.</w:t>
      </w:r>
    </w:p>
    <w:p w:rsidR="001D5F1E" w:rsidRDefault="001D5F1E" w:rsidP="001D5F1E">
      <w:pPr>
        <w:spacing w:line="360" w:lineRule="auto"/>
        <w:jc w:val="center"/>
        <w:rPr>
          <w:rFonts w:ascii="Arial" w:hAnsi="Arial"/>
          <w:noProof w:val="0"/>
          <w:rtl/>
        </w:rPr>
      </w:pPr>
    </w:p>
    <w:p w:rsidR="001D5F1E" w:rsidRDefault="001D5F1E" w:rsidP="001D5F1E">
      <w:pPr>
        <w:spacing w:line="360" w:lineRule="auto"/>
        <w:jc w:val="center"/>
      </w:pPr>
      <w:r>
        <w:rPr>
          <w:rFonts w:ascii="Arial" w:hAnsi="Arial"/>
          <w:noProof w:val="0"/>
          <w:rtl/>
        </w:rPr>
        <w:tab/>
      </w:r>
      <w:r>
        <w:rPr>
          <w:rFonts w:ascii="Arial" w:hAnsi="Arial"/>
          <w:noProof w:val="0"/>
          <w:rtl/>
        </w:rPr>
        <w:tab/>
      </w:r>
      <w:sdt>
        <w:sdtPr>
          <w:rPr>
            <w:rtl/>
          </w:rPr>
          <w:alias w:val="MergeField"/>
          <w:tag w:val="1237"/>
          <w:id w:val="1112783866"/>
        </w:sdtPr>
        <w:sdtEndPr/>
        <w:sdtContent>
          <w:r>
            <w:drawing>
              <wp:inline distT="0" distB="0" distL="0" distR="0" wp14:anchorId="4450CCB5" wp14:editId="6ACA179D">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sectPr w:rsidR="001D5F1E"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F3A" w:rsidRDefault="00B54F3A" w:rsidP="001D5F1E">
      <w:r>
        <w:separator/>
      </w:r>
    </w:p>
  </w:endnote>
  <w:endnote w:type="continuationSeparator" w:id="0">
    <w:p w:rsidR="00B54F3A" w:rsidRDefault="00B54F3A" w:rsidP="001D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D12AA">
    <w:pPr>
      <w:pStyle w:val="a5"/>
      <w:jc w:val="center"/>
      <w:rPr>
        <w:rStyle w:val="a8"/>
      </w:rPr>
    </w:pPr>
    <w:r>
      <w:rPr>
        <w:rStyle w:val="a8"/>
      </w:rPr>
      <w:fldChar w:fldCharType="begin"/>
    </w:r>
    <w:r>
      <w:rPr>
        <w:rStyle w:val="a8"/>
      </w:rPr>
      <w:instrText xml:space="preserve"> PAGE </w:instrText>
    </w:r>
    <w:r>
      <w:rPr>
        <w:rStyle w:val="a8"/>
      </w:rPr>
      <w:fldChar w:fldCharType="separate"/>
    </w:r>
    <w:r w:rsidR="00EF7143">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F7143">
      <w:rPr>
        <w:rStyle w:val="a8"/>
        <w:rtl/>
      </w:rPr>
      <w:t>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F3A" w:rsidRDefault="00B54F3A" w:rsidP="001D5F1E">
      <w:r>
        <w:separator/>
      </w:r>
    </w:p>
  </w:footnote>
  <w:footnote w:type="continuationSeparator" w:id="0">
    <w:p w:rsidR="00B54F3A" w:rsidRDefault="00B54F3A" w:rsidP="001D5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D12AA">
    <w:pPr>
      <w:pStyle w:val="a3"/>
      <w:jc w:val="center"/>
      <w:rPr>
        <w:rFonts w:cs="FrankRuehl"/>
        <w:noProof w:val="0"/>
        <w:sz w:val="28"/>
        <w:szCs w:val="28"/>
        <w:rtl/>
      </w:rPr>
    </w:pPr>
    <w:r>
      <w:rPr>
        <w:rFonts w:cs="FrankRuehl"/>
        <w:sz w:val="28"/>
        <w:szCs w:val="28"/>
      </w:rPr>
      <w:drawing>
        <wp:inline distT="0" distB="0" distL="0" distR="0" wp14:anchorId="4E5F8A0C" wp14:editId="423FD6B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5D12A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B54F3A">
          <w:pPr>
            <w:rPr>
              <w:b/>
              <w:bCs/>
              <w:noProof w:val="0"/>
              <w:sz w:val="26"/>
              <w:szCs w:val="26"/>
              <w:rtl/>
            </w:rPr>
          </w:pPr>
        </w:p>
      </w:tc>
      <w:sdt>
        <w:sdtPr>
          <w:rPr>
            <w:rtl/>
          </w:rPr>
          <w:alias w:val="1456"/>
          <w:tag w:val="1456"/>
          <w:id w:val="-1143425472"/>
          <w:text/>
        </w:sdtPr>
        <w:sdtEndPr/>
        <w:sdtContent>
          <w:tc>
            <w:tcPr>
              <w:tcW w:w="3674" w:type="dxa"/>
            </w:tcPr>
            <w:p w:rsidR="002914D6" w:rsidRDefault="005D12AA">
              <w:pPr>
                <w:pStyle w:val="a3"/>
                <w:jc w:val="right"/>
                <w:rPr>
                  <w:b/>
                  <w:bCs/>
                  <w:noProof w:val="0"/>
                  <w:sz w:val="26"/>
                  <w:szCs w:val="26"/>
                  <w:rtl/>
                </w:rPr>
              </w:pPr>
              <w:r>
                <w:rPr>
                  <w:b/>
                  <w:bCs/>
                  <w:noProof w:val="0"/>
                  <w:sz w:val="26"/>
                  <w:szCs w:val="26"/>
                  <w:rtl/>
                </w:rPr>
                <w:t>09 יולי 2023</w:t>
              </w:r>
            </w:p>
          </w:tc>
        </w:sdtContent>
      </w:sdt>
    </w:tr>
    <w:tr w:rsidR="002914D6">
      <w:trPr>
        <w:trHeight w:val="337"/>
        <w:jc w:val="center"/>
      </w:trPr>
      <w:tc>
        <w:tcPr>
          <w:tcW w:w="8721" w:type="dxa"/>
          <w:gridSpan w:val="2"/>
        </w:tcPr>
        <w:p w:rsidR="002914D6" w:rsidRDefault="00B54F3A" w:rsidP="006F5DAB">
          <w:pPr>
            <w:rPr>
              <w:b/>
              <w:bCs/>
              <w:noProof w:val="0"/>
              <w:sz w:val="26"/>
              <w:szCs w:val="26"/>
              <w:rtl/>
            </w:rPr>
          </w:pPr>
          <w:sdt>
            <w:sdtPr>
              <w:rPr>
                <w:rtl/>
              </w:rPr>
              <w:alias w:val="1170"/>
              <w:tag w:val="1170"/>
              <w:id w:val="632838173"/>
              <w:text w:multiLine="1"/>
            </w:sdtPr>
            <w:sdtEndPr/>
            <w:sdtContent>
              <w:r w:rsidR="005D12AA">
                <w:rPr>
                  <w:b/>
                  <w:bCs/>
                  <w:noProof w:val="0"/>
                  <w:sz w:val="26"/>
                  <w:szCs w:val="26"/>
                  <w:rtl/>
                </w:rPr>
                <w:t>תלה"מ</w:t>
              </w:r>
            </w:sdtContent>
          </w:sdt>
          <w:r w:rsidR="005D12AA">
            <w:rPr>
              <w:b/>
              <w:bCs/>
              <w:noProof w:val="0"/>
              <w:sz w:val="26"/>
              <w:szCs w:val="26"/>
              <w:rtl/>
            </w:rPr>
            <w:t xml:space="preserve"> </w:t>
          </w:r>
          <w:sdt>
            <w:sdtPr>
              <w:rPr>
                <w:rtl/>
              </w:rPr>
              <w:alias w:val="1171"/>
              <w:tag w:val="1171"/>
              <w:id w:val="-1684506308"/>
              <w:text w:multiLine="1"/>
            </w:sdtPr>
            <w:sdtEndPr/>
            <w:sdtContent>
              <w:r w:rsidR="005D12AA">
                <w:rPr>
                  <w:b/>
                  <w:bCs/>
                  <w:noProof w:val="0"/>
                  <w:sz w:val="26"/>
                  <w:szCs w:val="26"/>
                  <w:rtl/>
                </w:rPr>
                <w:t>57819-06-21</w:t>
              </w:r>
            </w:sdtContent>
          </w:sdt>
          <w:r w:rsidR="005D12AA">
            <w:rPr>
              <w:b/>
              <w:bCs/>
              <w:noProof w:val="0"/>
              <w:sz w:val="26"/>
              <w:szCs w:val="26"/>
              <w:rtl/>
            </w:rPr>
            <w:t xml:space="preserve"> </w:t>
          </w:r>
          <w:sdt>
            <w:sdtPr>
              <w:rPr>
                <w:rtl/>
              </w:rPr>
              <w:alias w:val="1172"/>
              <w:tag w:val="1172"/>
              <w:id w:val="1484202908"/>
              <w:text w:multiLine="1"/>
            </w:sdtPr>
            <w:sdtEndPr/>
            <w:sdtContent>
              <w:r w:rsidR="006F5DAB">
                <w:rPr>
                  <w:rFonts w:hint="cs"/>
                  <w:b/>
                  <w:bCs/>
                  <w:noProof w:val="0"/>
                  <w:sz w:val="26"/>
                  <w:szCs w:val="26"/>
                  <w:rtl/>
                </w:rPr>
                <w:t>פלונית</w:t>
              </w:r>
              <w:r w:rsidR="005D12AA">
                <w:rPr>
                  <w:b/>
                  <w:bCs/>
                  <w:noProof w:val="0"/>
                  <w:sz w:val="26"/>
                  <w:szCs w:val="26"/>
                  <w:rtl/>
                </w:rPr>
                <w:t xml:space="preserve"> נ' </w:t>
              </w:r>
              <w:r w:rsidR="006F5DAB">
                <w:rPr>
                  <w:rFonts w:hint="cs"/>
                  <w:b/>
                  <w:bCs/>
                  <w:noProof w:val="0"/>
                  <w:sz w:val="26"/>
                  <w:szCs w:val="26"/>
                  <w:rtl/>
                </w:rPr>
                <w:t>פלוני</w:t>
              </w:r>
            </w:sdtContent>
          </w:sdt>
        </w:p>
        <w:p w:rsidR="002914D6" w:rsidRDefault="00B54F3A">
          <w:pPr>
            <w:rPr>
              <w:rtl/>
            </w:rPr>
          </w:pPr>
        </w:p>
        <w:p w:rsidR="0074008A" w:rsidRDefault="00B54F3A">
          <w:pPr>
            <w:rPr>
              <w:rtl/>
            </w:rPr>
          </w:pPr>
        </w:p>
      </w:tc>
    </w:tr>
  </w:tbl>
  <w:p w:rsidR="002914D6" w:rsidRDefault="005D12AA">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BA3556"/>
    <w:multiLevelType w:val="hybridMultilevel"/>
    <w:tmpl w:val="CCBE4AD0"/>
    <w:lvl w:ilvl="0" w:tplc="85FC9D60">
      <w:start w:val="1"/>
      <w:numFmt w:val="decimal"/>
      <w:lvlText w:val="%1."/>
      <w:lvlJc w:val="left"/>
      <w:pPr>
        <w:ind w:left="720" w:hanging="360"/>
      </w:pPr>
      <w:rPr>
        <w:i w:val="0"/>
        <w:i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F1E"/>
    <w:rsid w:val="00020DF3"/>
    <w:rsid w:val="0002162E"/>
    <w:rsid w:val="000B490D"/>
    <w:rsid w:val="000D4567"/>
    <w:rsid w:val="000E701D"/>
    <w:rsid w:val="001065AE"/>
    <w:rsid w:val="001372F8"/>
    <w:rsid w:val="001D5F1E"/>
    <w:rsid w:val="002B4FFC"/>
    <w:rsid w:val="003749EB"/>
    <w:rsid w:val="005D12AA"/>
    <w:rsid w:val="00676826"/>
    <w:rsid w:val="006F5DAB"/>
    <w:rsid w:val="0077224A"/>
    <w:rsid w:val="00780010"/>
    <w:rsid w:val="008F0DC5"/>
    <w:rsid w:val="00922920"/>
    <w:rsid w:val="0093760E"/>
    <w:rsid w:val="009F244E"/>
    <w:rsid w:val="00A076D8"/>
    <w:rsid w:val="00B54F3A"/>
    <w:rsid w:val="00C30F8B"/>
    <w:rsid w:val="00C42A1E"/>
    <w:rsid w:val="00CD01F7"/>
    <w:rsid w:val="00E85CB2"/>
    <w:rsid w:val="00E90B58"/>
    <w:rsid w:val="00EF71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D75EA0-B1A0-4C6D-9B09-3232F5251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F1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D5F1E"/>
    <w:pPr>
      <w:tabs>
        <w:tab w:val="center" w:pos="4153"/>
        <w:tab w:val="right" w:pos="8306"/>
      </w:tabs>
    </w:pPr>
  </w:style>
  <w:style w:type="character" w:customStyle="1" w:styleId="a4">
    <w:name w:val="כותרת עליונה תו"/>
    <w:basedOn w:val="a0"/>
    <w:link w:val="a3"/>
    <w:rsid w:val="001D5F1E"/>
    <w:rPr>
      <w:rFonts w:ascii="Times New Roman" w:eastAsia="Times New Roman" w:hAnsi="Times New Roman" w:cs="David"/>
      <w:noProof/>
      <w:sz w:val="24"/>
      <w:szCs w:val="24"/>
    </w:rPr>
  </w:style>
  <w:style w:type="paragraph" w:styleId="a5">
    <w:name w:val="footer"/>
    <w:basedOn w:val="a"/>
    <w:link w:val="a6"/>
    <w:rsid w:val="001D5F1E"/>
    <w:pPr>
      <w:tabs>
        <w:tab w:val="center" w:pos="4153"/>
        <w:tab w:val="right" w:pos="8306"/>
      </w:tabs>
    </w:pPr>
  </w:style>
  <w:style w:type="character" w:customStyle="1" w:styleId="a6">
    <w:name w:val="כותרת תחתונה תו"/>
    <w:basedOn w:val="a0"/>
    <w:link w:val="a5"/>
    <w:rsid w:val="001D5F1E"/>
    <w:rPr>
      <w:rFonts w:ascii="Times New Roman" w:eastAsia="Times New Roman" w:hAnsi="Times New Roman" w:cs="David"/>
      <w:noProof/>
      <w:sz w:val="24"/>
      <w:szCs w:val="24"/>
    </w:rPr>
  </w:style>
  <w:style w:type="table" w:styleId="a7">
    <w:name w:val="Table Grid"/>
    <w:basedOn w:val="a1"/>
    <w:rsid w:val="001D5F1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D5F1E"/>
  </w:style>
  <w:style w:type="table" w:styleId="a9">
    <w:name w:val="Grid Table Light"/>
    <w:basedOn w:val="a1"/>
    <w:uiPriority w:val="40"/>
    <w:rsid w:val="001D5F1E"/>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uiPriority w:val="34"/>
    <w:qFormat/>
    <w:rsid w:val="001D5F1E"/>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1D5F1E"/>
    <w:rPr>
      <w:color w:val="0000FF"/>
      <w:u w:val="single"/>
    </w:rPr>
  </w:style>
  <w:style w:type="character" w:styleId="ab">
    <w:name w:val="line number"/>
    <w:basedOn w:val="a0"/>
    <w:uiPriority w:val="99"/>
    <w:semiHidden/>
    <w:unhideWhenUsed/>
    <w:rsid w:val="001D5F1E"/>
  </w:style>
  <w:style w:type="paragraph" w:styleId="ac">
    <w:name w:val="Balloon Text"/>
    <w:basedOn w:val="a"/>
    <w:link w:val="ad"/>
    <w:uiPriority w:val="99"/>
    <w:semiHidden/>
    <w:unhideWhenUsed/>
    <w:rsid w:val="0093760E"/>
    <w:rPr>
      <w:rFonts w:ascii="Tahoma" w:hAnsi="Tahoma" w:cs="Tahoma"/>
      <w:sz w:val="18"/>
      <w:szCs w:val="18"/>
    </w:rPr>
  </w:style>
  <w:style w:type="character" w:customStyle="1" w:styleId="ad">
    <w:name w:val="טקסט בלונים תו"/>
    <w:basedOn w:val="a0"/>
    <w:link w:val="ac"/>
    <w:uiPriority w:val="99"/>
    <w:semiHidden/>
    <w:rsid w:val="0093760E"/>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1445</Words>
  <Characters>7229</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אסתר טטרואשילי</cp:lastModifiedBy>
  <cp:revision>2</cp:revision>
  <cp:lastPrinted>2023-07-26T10:28:00Z</cp:lastPrinted>
  <dcterms:created xsi:type="dcterms:W3CDTF">2023-08-03T11:33:00Z</dcterms:created>
  <dcterms:modified xsi:type="dcterms:W3CDTF">2023-08-03T11:33:00Z</dcterms:modified>
</cp:coreProperties>
</file>